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0566D">
      <w:pPr>
        <w:pStyle w:val="2"/>
        <w:spacing w:before="168" w:line="218" w:lineRule="auto"/>
        <w:ind w:left="3271"/>
        <w:outlineLvl w:val="0"/>
        <w:rPr>
          <w:sz w:val="30"/>
          <w:szCs w:val="30"/>
        </w:rPr>
      </w:pPr>
      <w:r>
        <w:rPr>
          <w:b/>
          <w:bCs/>
          <w:spacing w:val="-6"/>
          <w:sz w:val="30"/>
          <w:szCs w:val="30"/>
        </w:rPr>
        <w:t>竞价公告</w:t>
      </w:r>
    </w:p>
    <w:p w14:paraId="7C4D07EA">
      <w:pPr>
        <w:pStyle w:val="2"/>
        <w:spacing w:before="188" w:line="269" w:lineRule="auto"/>
        <w:ind w:left="23" w:firstLine="420"/>
      </w:pPr>
      <w:r>
        <w:rPr>
          <w:spacing w:val="-3"/>
        </w:rPr>
        <w:t>现有浙江巨化股份有限公司电化厂</w:t>
      </w:r>
      <w:r>
        <w:rPr>
          <w:spacing w:val="-28"/>
        </w:rPr>
        <w:t xml:space="preserve"> </w:t>
      </w:r>
      <w:r>
        <w:rPr>
          <w:spacing w:val="-3"/>
        </w:rPr>
        <w:t>50000</w:t>
      </w:r>
      <w:r>
        <w:rPr>
          <w:spacing w:val="-36"/>
        </w:rPr>
        <w:t xml:space="preserve"> </w:t>
      </w:r>
      <w:r>
        <w:rPr>
          <w:spacing w:val="-3"/>
        </w:rPr>
        <w:t>吨石灰石竞价采购，2026</w:t>
      </w:r>
      <w:r>
        <w:rPr>
          <w:spacing w:val="-43"/>
        </w:rPr>
        <w:t xml:space="preserve"> </w:t>
      </w:r>
      <w:r>
        <w:rPr>
          <w:spacing w:val="-3"/>
        </w:rPr>
        <w:t>年</w:t>
      </w:r>
      <w:r>
        <w:rPr>
          <w:rFonts w:hint="eastAsia"/>
          <w:spacing w:val="-29"/>
          <w:lang w:val="en-US" w:eastAsia="zh-CN"/>
        </w:rPr>
        <w:t>10</w:t>
      </w:r>
      <w:r>
        <w:rPr>
          <w:spacing w:val="-38"/>
        </w:rPr>
        <w:t xml:space="preserve"> </w:t>
      </w:r>
      <w:r>
        <w:rPr>
          <w:spacing w:val="-3"/>
        </w:rPr>
        <w:t>月</w:t>
      </w:r>
      <w:r>
        <w:rPr>
          <w:spacing w:val="-44"/>
        </w:rPr>
        <w:t xml:space="preserve"> </w:t>
      </w:r>
      <w:r>
        <w:rPr>
          <w:rFonts w:hint="eastAsia"/>
          <w:spacing w:val="-3"/>
          <w:lang w:val="en-US" w:eastAsia="zh-CN"/>
        </w:rPr>
        <w:t>23</w:t>
      </w:r>
      <w:r>
        <w:rPr>
          <w:spacing w:val="-3"/>
        </w:rPr>
        <w:t xml:space="preserve"> 日至2026年</w:t>
      </w:r>
      <w:r>
        <w:rPr>
          <w:rFonts w:hint="eastAsia"/>
          <w:spacing w:val="-28"/>
          <w:lang w:val="en-US" w:eastAsia="zh-CN"/>
        </w:rPr>
        <w:t>10</w:t>
      </w:r>
      <w:r>
        <w:rPr>
          <w:spacing w:val="-39"/>
        </w:rPr>
        <w:t xml:space="preserve"> </w:t>
      </w:r>
      <w:r>
        <w:rPr>
          <w:spacing w:val="-3"/>
        </w:rPr>
        <w:t>月</w:t>
      </w:r>
      <w:r>
        <w:rPr>
          <w:spacing w:val="-41"/>
        </w:rPr>
        <w:t xml:space="preserve"> </w:t>
      </w:r>
      <w:r>
        <w:rPr>
          <w:rFonts w:hint="eastAsia"/>
          <w:spacing w:val="-3"/>
          <w:lang w:val="en-US" w:eastAsia="zh-CN"/>
        </w:rPr>
        <w:t>27</w:t>
      </w:r>
      <w:r>
        <w:rPr>
          <w:spacing w:val="-3"/>
        </w:rPr>
        <w:t xml:space="preserve"> 日</w:t>
      </w:r>
      <w:r>
        <w:rPr>
          <w:spacing w:val="-28"/>
        </w:rPr>
        <w:t xml:space="preserve"> </w:t>
      </w:r>
      <w:r>
        <w:rPr>
          <w:spacing w:val="-3"/>
        </w:rPr>
        <w:t>1</w:t>
      </w:r>
      <w:r>
        <w:rPr>
          <w:rFonts w:hint="eastAsia"/>
          <w:spacing w:val="-3"/>
          <w:lang w:val="en-US" w:eastAsia="zh-CN"/>
        </w:rPr>
        <w:t>4</w:t>
      </w:r>
      <w:r>
        <w:rPr>
          <w:spacing w:val="-3"/>
        </w:rPr>
        <w:t>：0</w:t>
      </w:r>
      <w:r>
        <w:rPr>
          <w:spacing w:val="-42"/>
        </w:rPr>
        <w:t xml:space="preserve"> </w:t>
      </w:r>
      <w:r>
        <w:rPr>
          <w:spacing w:val="-3"/>
        </w:rPr>
        <w:t>0</w:t>
      </w:r>
      <w:r>
        <w:rPr>
          <w:spacing w:val="-45"/>
        </w:rPr>
        <w:t xml:space="preserve"> </w:t>
      </w:r>
      <w:r>
        <w:rPr>
          <w:spacing w:val="-3"/>
        </w:rPr>
        <w:t>在巨化数字商城平台网上竞价。到货时间按电化厂</w:t>
      </w:r>
      <w:r>
        <w:rPr>
          <w:spacing w:val="-4"/>
        </w:rPr>
        <w:t>通知执行。</w:t>
      </w:r>
    </w:p>
    <w:p w14:paraId="7A8B415B">
      <w:pPr>
        <w:pStyle w:val="2"/>
        <w:spacing w:line="214" w:lineRule="auto"/>
        <w:ind w:left="445"/>
        <w:rPr>
          <w:sz w:val="24"/>
          <w:szCs w:val="24"/>
        </w:rPr>
      </w:pPr>
      <w:r>
        <w:rPr>
          <w:spacing w:val="-1"/>
        </w:rPr>
        <w:t>竞价网址</w:t>
      </w:r>
      <w:r>
        <w:rPr>
          <w:spacing w:val="-40"/>
        </w:rPr>
        <w:t xml:space="preserve"> </w:t>
      </w:r>
      <w:r>
        <w:fldChar w:fldCharType="begin"/>
      </w:r>
      <w:r>
        <w:instrText xml:space="preserve"> HYPERLINK "https://jh1958.com" </w:instrText>
      </w:r>
      <w:r>
        <w:fldChar w:fldCharType="separate"/>
      </w:r>
      <w:r>
        <w:rPr>
          <w:color w:val="0563C1"/>
          <w:spacing w:val="-1"/>
          <w:sz w:val="24"/>
          <w:szCs w:val="24"/>
        </w:rPr>
        <w:t>https://jh1958.com</w:t>
      </w:r>
      <w:r>
        <w:rPr>
          <w:color w:val="0563C1"/>
          <w:spacing w:val="-1"/>
          <w:sz w:val="24"/>
          <w:szCs w:val="24"/>
        </w:rPr>
        <w:fldChar w:fldCharType="end"/>
      </w:r>
    </w:p>
    <w:p w14:paraId="69DFDEC6">
      <w:pPr>
        <w:pStyle w:val="2"/>
        <w:spacing w:before="65" w:line="219" w:lineRule="auto"/>
        <w:ind w:left="448"/>
        <w:outlineLvl w:val="1"/>
      </w:pPr>
      <w:r>
        <w:rPr>
          <w:b/>
          <w:bCs/>
          <w:spacing w:val="-5"/>
        </w:rPr>
        <w:t>一、竞价单位</w:t>
      </w:r>
    </w:p>
    <w:p w14:paraId="0F6DCF9B">
      <w:pPr>
        <w:pStyle w:val="2"/>
        <w:spacing w:before="71" w:line="281" w:lineRule="auto"/>
        <w:ind w:left="25" w:right="239" w:firstLine="419"/>
      </w:pPr>
      <w:r>
        <w:t>参与竞价单位须为电化厂合格供方（含试用合格的供方</w:t>
      </w:r>
      <w:r>
        <w:rPr>
          <w:spacing w:val="-3"/>
        </w:rPr>
        <w:t>），</w:t>
      </w:r>
      <w:r>
        <w:t>未列入电化厂合格供方的</w:t>
      </w:r>
      <w:r>
        <w:rPr>
          <w:spacing w:val="-1"/>
        </w:rPr>
        <w:t>竞价按无效报价处置。</w:t>
      </w:r>
    </w:p>
    <w:p w14:paraId="0EF1E7B4">
      <w:pPr>
        <w:pStyle w:val="2"/>
        <w:spacing w:line="221" w:lineRule="auto"/>
        <w:ind w:left="448"/>
        <w:outlineLvl w:val="1"/>
      </w:pPr>
      <w:r>
        <w:rPr>
          <w:b/>
          <w:bCs/>
          <w:spacing w:val="-3"/>
        </w:rPr>
        <w:t>二、质量指标及质量超标处理</w:t>
      </w:r>
    </w:p>
    <w:p w14:paraId="50831DCA">
      <w:pPr>
        <w:pStyle w:val="2"/>
        <w:spacing w:before="69" w:line="220" w:lineRule="auto"/>
        <w:ind w:left="458"/>
      </w:pPr>
      <w:r>
        <w:rPr>
          <w:spacing w:val="-1"/>
        </w:rPr>
        <w:t>1、</w:t>
      </w:r>
      <w:r>
        <w:rPr>
          <w:b/>
          <w:bCs/>
          <w:spacing w:val="-1"/>
        </w:rPr>
        <w:t>质量指标：</w:t>
      </w:r>
      <w:r>
        <w:rPr>
          <w:spacing w:val="-1"/>
        </w:rPr>
        <w:t>石灰石规格</w:t>
      </w:r>
      <w:r>
        <w:rPr>
          <w:spacing w:val="-36"/>
        </w:rPr>
        <w:t xml:space="preserve"> </w:t>
      </w:r>
      <w:r>
        <w:rPr>
          <w:spacing w:val="-1"/>
        </w:rPr>
        <w:t>4-8cm；氧化钙含量≥54.1%；氧化镁≤1.0%；酸不溶物≤</w:t>
      </w:r>
    </w:p>
    <w:p w14:paraId="248B2DDA">
      <w:pPr>
        <w:pStyle w:val="2"/>
        <w:spacing w:before="70" w:line="220" w:lineRule="auto"/>
        <w:ind w:left="38"/>
      </w:pPr>
      <w:r>
        <w:rPr>
          <w:spacing w:val="-2"/>
        </w:rPr>
        <w:t>1.2%。到货石灰石质量以电化厂出具的分析结果为准。</w:t>
      </w:r>
    </w:p>
    <w:p w14:paraId="60D2C05C">
      <w:pPr>
        <w:pStyle w:val="2"/>
        <w:spacing w:before="69" w:line="221" w:lineRule="auto"/>
        <w:ind w:left="447"/>
        <w:outlineLvl w:val="2"/>
      </w:pPr>
      <w:r>
        <w:rPr>
          <w:b/>
          <w:bCs/>
          <w:spacing w:val="-3"/>
        </w:rPr>
        <w:t>2、质量超标处理</w:t>
      </w:r>
    </w:p>
    <w:p w14:paraId="5F2508AE">
      <w:pPr>
        <w:pStyle w:val="2"/>
        <w:spacing w:before="70" w:line="220" w:lineRule="auto"/>
        <w:ind w:left="448"/>
      </w:pPr>
      <w:r>
        <w:t>（1）到货石灰石规格不符或细料、杂质较多的，电化厂有权</w:t>
      </w:r>
      <w:r>
        <w:rPr>
          <w:spacing w:val="-1"/>
        </w:rPr>
        <w:t>给予扣吨或作退货处理。</w:t>
      </w:r>
    </w:p>
    <w:p w14:paraId="322B4E07">
      <w:pPr>
        <w:pStyle w:val="2"/>
        <w:spacing w:before="69" w:line="220" w:lineRule="auto"/>
        <w:ind w:left="448"/>
      </w:pPr>
      <w:r>
        <w:rPr>
          <w:spacing w:val="-1"/>
        </w:rPr>
        <w:t>（2）每次不合格含量在下列范围内，按扣款最多的所在范围扣</w:t>
      </w:r>
      <w:r>
        <w:rPr>
          <w:spacing w:val="-2"/>
        </w:rPr>
        <w:t>除货款：</w:t>
      </w:r>
    </w:p>
    <w:p w14:paraId="082DFC9E">
      <w:pPr>
        <w:pStyle w:val="2"/>
        <w:spacing w:before="69" w:line="251" w:lineRule="auto"/>
        <w:ind w:left="865" w:right="290" w:hanging="304"/>
      </w:pPr>
      <w:r>
        <w:rPr>
          <w:spacing w:val="-1"/>
        </w:rPr>
        <w:t>①</w:t>
      </w:r>
      <w:r>
        <w:rPr>
          <w:spacing w:val="56"/>
        </w:rPr>
        <w:t xml:space="preserve"> </w:t>
      </w:r>
      <w:r>
        <w:rPr>
          <w:spacing w:val="-1"/>
        </w:rPr>
        <w:t>53%≤氧化钙含量＜54.1%或</w:t>
      </w:r>
      <w:r>
        <w:rPr>
          <w:spacing w:val="-28"/>
        </w:rPr>
        <w:t xml:space="preserve"> </w:t>
      </w:r>
      <w:r>
        <w:rPr>
          <w:spacing w:val="-1"/>
        </w:rPr>
        <w:t>1%＜氧化</w:t>
      </w:r>
      <w:r>
        <w:rPr>
          <w:spacing w:val="-2"/>
        </w:rPr>
        <w:t>镁含量≤1.1%或</w:t>
      </w:r>
      <w:r>
        <w:rPr>
          <w:spacing w:val="-28"/>
        </w:rPr>
        <w:t xml:space="preserve"> </w:t>
      </w:r>
      <w:r>
        <w:rPr>
          <w:spacing w:val="-2"/>
        </w:rPr>
        <w:t>1.2%＜酸不溶物含量≤2%</w:t>
      </w:r>
      <w:r>
        <w:rPr>
          <w:spacing w:val="-6"/>
        </w:rPr>
        <w:t>扣除货款</w:t>
      </w:r>
      <w:r>
        <w:rPr>
          <w:spacing w:val="-22"/>
        </w:rPr>
        <w:t xml:space="preserve"> </w:t>
      </w:r>
      <w:r>
        <w:rPr>
          <w:spacing w:val="-6"/>
        </w:rPr>
        <w:t>1000</w:t>
      </w:r>
      <w:r>
        <w:rPr>
          <w:spacing w:val="-45"/>
        </w:rPr>
        <w:t xml:space="preserve"> </w:t>
      </w:r>
      <w:r>
        <w:rPr>
          <w:spacing w:val="-6"/>
        </w:rPr>
        <w:t>元。</w:t>
      </w:r>
    </w:p>
    <w:p w14:paraId="6B1BDCD2">
      <w:pPr>
        <w:pStyle w:val="2"/>
        <w:spacing w:before="70" w:line="250" w:lineRule="auto"/>
        <w:ind w:left="867" w:right="499" w:hanging="307"/>
      </w:pPr>
      <w:r>
        <w:rPr>
          <w:spacing w:val="-1"/>
        </w:rPr>
        <w:t>②</w:t>
      </w:r>
      <w:r>
        <w:rPr>
          <w:spacing w:val="56"/>
        </w:rPr>
        <w:t xml:space="preserve"> </w:t>
      </w:r>
      <w:r>
        <w:rPr>
          <w:spacing w:val="-1"/>
        </w:rPr>
        <w:t>52%≤氧化钙含量＜53%或</w:t>
      </w:r>
      <w:r>
        <w:rPr>
          <w:spacing w:val="-31"/>
        </w:rPr>
        <w:t xml:space="preserve"> </w:t>
      </w:r>
      <w:r>
        <w:rPr>
          <w:spacing w:val="-1"/>
        </w:rPr>
        <w:t>1.1%＜氧化镁含量≤1.2%或</w:t>
      </w:r>
      <w:r>
        <w:rPr>
          <w:spacing w:val="-41"/>
        </w:rPr>
        <w:t xml:space="preserve"> </w:t>
      </w:r>
      <w:r>
        <w:rPr>
          <w:spacing w:val="-1"/>
        </w:rPr>
        <w:t>2%＜酸不</w:t>
      </w:r>
      <w:r>
        <w:rPr>
          <w:spacing w:val="-2"/>
        </w:rPr>
        <w:t>溶物含量≤3%</w:t>
      </w:r>
      <w:r>
        <w:rPr>
          <w:spacing w:val="-5"/>
        </w:rPr>
        <w:t>扣除货款</w:t>
      </w:r>
      <w:r>
        <w:rPr>
          <w:spacing w:val="-35"/>
        </w:rPr>
        <w:t xml:space="preserve"> </w:t>
      </w:r>
      <w:r>
        <w:rPr>
          <w:spacing w:val="-5"/>
        </w:rPr>
        <w:t>3000</w:t>
      </w:r>
      <w:r>
        <w:rPr>
          <w:spacing w:val="-44"/>
        </w:rPr>
        <w:t xml:space="preserve"> </w:t>
      </w:r>
      <w:r>
        <w:rPr>
          <w:spacing w:val="-5"/>
        </w:rPr>
        <w:t>元。</w:t>
      </w:r>
    </w:p>
    <w:p w14:paraId="7008A620">
      <w:pPr>
        <w:pStyle w:val="2"/>
        <w:spacing w:before="72" w:line="250" w:lineRule="auto"/>
        <w:ind w:left="864" w:right="499" w:hanging="304"/>
      </w:pPr>
      <w:r>
        <w:rPr>
          <w:spacing w:val="-1"/>
        </w:rPr>
        <w:t>③</w:t>
      </w:r>
      <w:r>
        <w:rPr>
          <w:spacing w:val="56"/>
        </w:rPr>
        <w:t xml:space="preserve"> </w:t>
      </w:r>
      <w:r>
        <w:rPr>
          <w:spacing w:val="-1"/>
        </w:rPr>
        <w:t>50%≤氧化钙含量＜52%或</w:t>
      </w:r>
      <w:r>
        <w:rPr>
          <w:spacing w:val="-30"/>
        </w:rPr>
        <w:t xml:space="preserve"> </w:t>
      </w:r>
      <w:r>
        <w:rPr>
          <w:spacing w:val="-1"/>
        </w:rPr>
        <w:t>1.2%＜氧化镁含量≤1.3%或</w:t>
      </w:r>
      <w:r>
        <w:rPr>
          <w:spacing w:val="-40"/>
        </w:rPr>
        <w:t xml:space="preserve"> </w:t>
      </w:r>
      <w:r>
        <w:rPr>
          <w:spacing w:val="-1"/>
        </w:rPr>
        <w:t>3%＜</w:t>
      </w:r>
      <w:r>
        <w:rPr>
          <w:spacing w:val="-2"/>
        </w:rPr>
        <w:t>酸不溶物含量≤5%</w:t>
      </w:r>
      <w:r>
        <w:rPr>
          <w:spacing w:val="-5"/>
        </w:rPr>
        <w:t>扣除货款</w:t>
      </w:r>
      <w:r>
        <w:rPr>
          <w:spacing w:val="-32"/>
        </w:rPr>
        <w:t xml:space="preserve"> </w:t>
      </w:r>
      <w:r>
        <w:rPr>
          <w:spacing w:val="-5"/>
        </w:rPr>
        <w:t>5000</w:t>
      </w:r>
      <w:r>
        <w:rPr>
          <w:spacing w:val="-45"/>
        </w:rPr>
        <w:t xml:space="preserve"> </w:t>
      </w:r>
      <w:r>
        <w:rPr>
          <w:spacing w:val="-5"/>
        </w:rPr>
        <w:t>元。</w:t>
      </w:r>
    </w:p>
    <w:p w14:paraId="05FDEC80">
      <w:pPr>
        <w:pStyle w:val="2"/>
        <w:spacing w:before="70" w:line="251" w:lineRule="auto"/>
        <w:ind w:left="864" w:right="1756" w:hanging="304"/>
        <w:rPr>
          <w:spacing w:val="-4"/>
        </w:rPr>
      </w:pPr>
      <w:r>
        <w:t>④</w:t>
      </w:r>
      <w:r>
        <w:rPr>
          <w:spacing w:val="52"/>
        </w:rPr>
        <w:t xml:space="preserve"> </w:t>
      </w:r>
      <w:r>
        <w:t xml:space="preserve">氧化钙含量＜50% 或 氧化镁含量＞1.3% </w:t>
      </w:r>
      <w:r>
        <w:rPr>
          <w:spacing w:val="-1"/>
        </w:rPr>
        <w:t>或 酸不溶物含量＞5%</w:t>
      </w:r>
      <w:r>
        <w:rPr>
          <w:spacing w:val="-4"/>
        </w:rPr>
        <w:t>扣除货款</w:t>
      </w:r>
      <w:r>
        <w:rPr>
          <w:spacing w:val="-42"/>
        </w:rPr>
        <w:t xml:space="preserve"> </w:t>
      </w:r>
      <w:r>
        <w:rPr>
          <w:spacing w:val="-4"/>
        </w:rPr>
        <w:t>8000</w:t>
      </w:r>
      <w:r>
        <w:rPr>
          <w:spacing w:val="-45"/>
        </w:rPr>
        <w:t xml:space="preserve"> </w:t>
      </w:r>
      <w:r>
        <w:rPr>
          <w:spacing w:val="-4"/>
        </w:rPr>
        <w:t>元。</w:t>
      </w:r>
    </w:p>
    <w:p w14:paraId="667522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rPr>
      </w:pPr>
      <w:r>
        <w:rPr>
          <w:rFonts w:hint="eastAsia"/>
          <w:b/>
          <w:bCs/>
          <w:color w:val="auto"/>
        </w:rPr>
        <w:t>二、竞价保证金</w:t>
      </w:r>
    </w:p>
    <w:p w14:paraId="68F49B10">
      <w:pPr>
        <w:keepNext w:val="0"/>
        <w:keepLines w:val="0"/>
        <w:pageBreakBefore w:val="0"/>
        <w:widowControl w:val="0"/>
        <w:kinsoku/>
        <w:wordWrap/>
        <w:overflowPunct/>
        <w:topLinePunct w:val="0"/>
        <w:autoSpaceDE/>
        <w:autoSpaceDN/>
        <w:bidi w:val="0"/>
        <w:adjustRightInd/>
        <w:snapToGrid/>
        <w:spacing w:line="360" w:lineRule="auto"/>
        <w:ind w:firstLine="416" w:firstLineChars="200"/>
        <w:textAlignment w:val="auto"/>
        <w:rPr>
          <w:rFonts w:hint="eastAsia"/>
          <w:spacing w:val="-1"/>
        </w:rPr>
      </w:pPr>
      <w:r>
        <w:rPr>
          <w:rFonts w:hint="eastAsia"/>
          <w:spacing w:val="-1"/>
        </w:rPr>
        <w:t>参与竞价的供应商在竞价截止时间前，缴纳竞价保证金人民币</w:t>
      </w:r>
      <w:r>
        <w:rPr>
          <w:rFonts w:hint="eastAsia" w:eastAsia="宋体"/>
          <w:spacing w:val="-1"/>
          <w:lang w:val="en-US" w:eastAsia="zh-CN"/>
        </w:rPr>
        <w:t>肆</w:t>
      </w:r>
      <w:r>
        <w:rPr>
          <w:rFonts w:hint="eastAsia"/>
          <w:spacing w:val="-1"/>
        </w:rPr>
        <w:t>万元</w:t>
      </w:r>
      <w:r>
        <w:rPr>
          <w:rFonts w:hint="eastAsia" w:eastAsia="宋体"/>
          <w:spacing w:val="-1"/>
          <w:lang w:eastAsia="zh-CN"/>
        </w:rPr>
        <w:t>（</w:t>
      </w:r>
      <w:r>
        <w:rPr>
          <w:rFonts w:hint="eastAsia"/>
          <w:spacing w:val="-1"/>
        </w:rPr>
        <w:t>¥</w:t>
      </w:r>
      <w:r>
        <w:rPr>
          <w:rFonts w:hint="eastAsia" w:eastAsia="宋体"/>
          <w:spacing w:val="-1"/>
          <w:lang w:val="en-US" w:eastAsia="zh-CN"/>
        </w:rPr>
        <w:t>4</w:t>
      </w:r>
      <w:r>
        <w:rPr>
          <w:rFonts w:hint="eastAsia"/>
          <w:spacing w:val="-1"/>
        </w:rPr>
        <w:t>0,000.00）至浙江巨化股份有限公司电化厂指定账户。未按时足额缴纳保证金的，其竞价报价按无效处置。竞价结束后，未中标单位的保证金在</w:t>
      </w:r>
      <w:r>
        <w:rPr>
          <w:rFonts w:hint="eastAsia"/>
          <w:spacing w:val="-1"/>
          <w:lang w:val="en-US" w:eastAsia="zh-CN"/>
        </w:rPr>
        <w:t>可申请</w:t>
      </w:r>
      <w:r>
        <w:rPr>
          <w:rFonts w:hint="eastAsia"/>
          <w:spacing w:val="-1"/>
        </w:rPr>
        <w:t>无息</w:t>
      </w:r>
      <w:r>
        <w:rPr>
          <w:rFonts w:hint="eastAsia"/>
          <w:spacing w:val="-1"/>
          <w:lang w:val="en-US" w:eastAsia="zh-CN"/>
        </w:rPr>
        <w:t>原路</w:t>
      </w:r>
      <w:r>
        <w:rPr>
          <w:rFonts w:hint="eastAsia"/>
          <w:spacing w:val="-1"/>
        </w:rPr>
        <w:t>退还</w:t>
      </w:r>
      <w:r>
        <w:rPr>
          <w:rFonts w:hint="eastAsia"/>
          <w:spacing w:val="-1"/>
          <w:lang w:val="en-US" w:eastAsia="zh-CN"/>
        </w:rPr>
        <w:t>或留待下次竞价继续用作保证金</w:t>
      </w:r>
      <w:r>
        <w:rPr>
          <w:rFonts w:hint="eastAsia"/>
          <w:spacing w:val="-1"/>
        </w:rPr>
        <w:t>；中标单位的保证金自动转为履约保证金。</w:t>
      </w:r>
    </w:p>
    <w:p w14:paraId="558C2364">
      <w:pPr>
        <w:pStyle w:val="2"/>
        <w:spacing w:before="69" w:line="251" w:lineRule="auto"/>
        <w:ind w:right="290" w:firstLine="416" w:firstLineChars="200"/>
        <w:rPr>
          <w:rFonts w:hint="eastAsia"/>
          <w:spacing w:val="-1"/>
        </w:rPr>
      </w:pPr>
      <w:r>
        <w:rPr>
          <w:rFonts w:hint="eastAsia"/>
          <w:spacing w:val="-1"/>
        </w:rPr>
        <w:t>出现下列情形之一的，投标保证金将不予退还：</w:t>
      </w:r>
    </w:p>
    <w:p w14:paraId="6FE12902">
      <w:pPr>
        <w:pStyle w:val="2"/>
        <w:spacing w:before="69" w:line="251" w:lineRule="auto"/>
        <w:ind w:right="290" w:firstLine="416" w:firstLineChars="200"/>
        <w:rPr>
          <w:rFonts w:hint="eastAsia"/>
          <w:spacing w:val="-1"/>
        </w:rPr>
      </w:pPr>
      <w:r>
        <w:rPr>
          <w:rFonts w:hint="eastAsia"/>
          <w:spacing w:val="-1"/>
          <w:lang w:eastAsia="zh-CN"/>
        </w:rPr>
        <w:t>（</w:t>
      </w:r>
      <w:r>
        <w:rPr>
          <w:rFonts w:hint="eastAsia"/>
          <w:spacing w:val="-1"/>
          <w:lang w:val="en-US" w:eastAsia="zh-CN"/>
        </w:rPr>
        <w:t>1</w:t>
      </w:r>
      <w:r>
        <w:rPr>
          <w:rFonts w:hint="eastAsia"/>
          <w:spacing w:val="-1"/>
          <w:lang w:eastAsia="zh-CN"/>
        </w:rPr>
        <w:t>）</w:t>
      </w:r>
      <w:r>
        <w:rPr>
          <w:rFonts w:hint="eastAsia"/>
          <w:spacing w:val="-1"/>
        </w:rPr>
        <w:t>中标供应商无正当理由放弃中标资格，或未在规定期限内与我司签订合同的；</w:t>
      </w:r>
    </w:p>
    <w:p w14:paraId="68A3EC93">
      <w:pPr>
        <w:pStyle w:val="2"/>
        <w:spacing w:before="69" w:line="251" w:lineRule="auto"/>
        <w:ind w:right="290" w:firstLine="416" w:firstLineChars="200"/>
        <w:rPr>
          <w:spacing w:val="-1"/>
        </w:rPr>
      </w:pPr>
      <w:r>
        <w:rPr>
          <w:rFonts w:hint="eastAsia"/>
          <w:spacing w:val="-1"/>
          <w:lang w:eastAsia="zh-CN"/>
        </w:rPr>
        <w:t>（</w:t>
      </w:r>
      <w:r>
        <w:rPr>
          <w:rFonts w:hint="eastAsia"/>
          <w:spacing w:val="-1"/>
          <w:lang w:val="en-US" w:eastAsia="zh-CN"/>
        </w:rPr>
        <w:t>2</w:t>
      </w:r>
      <w:r>
        <w:rPr>
          <w:rFonts w:hint="eastAsia"/>
          <w:spacing w:val="-1"/>
          <w:lang w:eastAsia="zh-CN"/>
        </w:rPr>
        <w:t>）</w:t>
      </w:r>
      <w:r>
        <w:rPr>
          <w:rFonts w:hint="eastAsia"/>
          <w:spacing w:val="-1"/>
        </w:rPr>
        <w:t>供应商在投标过程中存在弄虚作假、串通投标等违法违规行为的</w:t>
      </w:r>
      <w:r>
        <w:rPr>
          <w:rFonts w:hint="eastAsia"/>
          <w:spacing w:val="-1"/>
          <w:lang w:eastAsia="zh-CN"/>
        </w:rPr>
        <w:t>。</w:t>
      </w:r>
    </w:p>
    <w:p w14:paraId="69ECE463">
      <w:pPr>
        <w:pStyle w:val="2"/>
        <w:spacing w:before="69" w:line="221" w:lineRule="auto"/>
        <w:ind w:left="444"/>
        <w:outlineLvl w:val="1"/>
      </w:pPr>
      <w:r>
        <w:rPr>
          <w:b/>
          <w:bCs/>
          <w:spacing w:val="-2"/>
        </w:rPr>
        <w:t>三、中标单位的选择</w:t>
      </w:r>
    </w:p>
    <w:p w14:paraId="79C9D151">
      <w:pPr>
        <w:pStyle w:val="2"/>
        <w:spacing w:before="68" w:line="219" w:lineRule="auto"/>
        <w:ind w:left="443"/>
      </w:pPr>
      <w:r>
        <w:t>本次竞价定为二个轮次，同一单位第二轮报价不得高于第一轮报价：</w:t>
      </w:r>
    </w:p>
    <w:p w14:paraId="6A65FAC3">
      <w:pPr>
        <w:pStyle w:val="2"/>
        <w:numPr>
          <w:ilvl w:val="0"/>
          <w:numId w:val="1"/>
        </w:numPr>
        <w:spacing w:before="72" w:line="250" w:lineRule="auto"/>
        <w:ind w:left="39" w:right="136" w:firstLine="418"/>
        <w:rPr>
          <w:spacing w:val="-10"/>
        </w:rPr>
      </w:pPr>
      <w:r>
        <w:rPr>
          <w:spacing w:val="-1"/>
        </w:rPr>
        <w:t>若第一轮的报价单位大于</w:t>
      </w:r>
      <w:r>
        <w:rPr>
          <w:rFonts w:hint="eastAsia"/>
          <w:spacing w:val="-1"/>
          <w:lang w:val="en-US" w:eastAsia="zh-CN"/>
        </w:rPr>
        <w:t>等于四</w:t>
      </w:r>
      <w:r>
        <w:rPr>
          <w:spacing w:val="-1"/>
        </w:rPr>
        <w:t>家，取最低的四家单位进入第二轮；第二轮报价取最低</w:t>
      </w:r>
      <w:r>
        <w:rPr>
          <w:spacing w:val="-2"/>
        </w:rPr>
        <w:t>的</w:t>
      </w:r>
      <w:r>
        <w:rPr>
          <w:spacing w:val="-26"/>
        </w:rPr>
        <w:t xml:space="preserve"> </w:t>
      </w:r>
      <w:r>
        <w:rPr>
          <w:spacing w:val="-2"/>
        </w:rPr>
        <w:t>3</w:t>
      </w:r>
      <w:r>
        <w:rPr>
          <w:spacing w:val="-43"/>
        </w:rPr>
        <w:t xml:space="preserve"> </w:t>
      </w:r>
      <w:r>
        <w:rPr>
          <w:spacing w:val="-2"/>
        </w:rPr>
        <w:t>家单位作为候选中标单位。数量按价格从低到高</w:t>
      </w:r>
      <w:r>
        <w:rPr>
          <w:spacing w:val="-39"/>
        </w:rPr>
        <w:t xml:space="preserve"> </w:t>
      </w:r>
      <w:r>
        <w:rPr>
          <w:spacing w:val="-2"/>
        </w:rPr>
        <w:t>5:3:2</w:t>
      </w:r>
      <w:r>
        <w:rPr>
          <w:spacing w:val="-42"/>
        </w:rPr>
        <w:t xml:space="preserve"> </w:t>
      </w:r>
      <w:r>
        <w:rPr>
          <w:spacing w:val="-2"/>
        </w:rPr>
        <w:t>分配，价格取前三家的平均</w:t>
      </w:r>
      <w:r>
        <w:rPr>
          <w:spacing w:val="-10"/>
        </w:rPr>
        <w:t>价。</w:t>
      </w:r>
    </w:p>
    <w:p w14:paraId="4BA0B85D">
      <w:pPr>
        <w:pStyle w:val="2"/>
        <w:numPr>
          <w:ilvl w:val="0"/>
          <w:numId w:val="1"/>
        </w:numPr>
        <w:spacing w:before="72" w:line="250" w:lineRule="auto"/>
        <w:ind w:left="39" w:right="136" w:firstLine="418"/>
        <w:rPr>
          <w:spacing w:val="-2"/>
        </w:rPr>
      </w:pPr>
      <w:r>
        <w:rPr>
          <w:spacing w:val="-1"/>
        </w:rPr>
        <w:t>若第一轮报价的单位为三家，取最低的二家进入第二轮报价。第二轮报价</w:t>
      </w:r>
      <w:r>
        <w:rPr>
          <w:spacing w:val="-37"/>
        </w:rPr>
        <w:t xml:space="preserve"> </w:t>
      </w:r>
      <w:r>
        <w:rPr>
          <w:spacing w:val="-1"/>
        </w:rPr>
        <w:t>2</w:t>
      </w:r>
      <w:r>
        <w:rPr>
          <w:spacing w:val="-42"/>
        </w:rPr>
        <w:t xml:space="preserve"> </w:t>
      </w:r>
      <w:r>
        <w:rPr>
          <w:spacing w:val="-1"/>
        </w:rPr>
        <w:t>家单位作为候选中标单位。数量按价格从低到高</w:t>
      </w:r>
      <w:r>
        <w:rPr>
          <w:spacing w:val="-39"/>
        </w:rPr>
        <w:t xml:space="preserve"> </w:t>
      </w:r>
      <w:r>
        <w:rPr>
          <w:spacing w:val="-1"/>
        </w:rPr>
        <w:t>7:3</w:t>
      </w:r>
      <w:r>
        <w:rPr>
          <w:spacing w:val="-44"/>
        </w:rPr>
        <w:t xml:space="preserve"> </w:t>
      </w:r>
      <w:r>
        <w:rPr>
          <w:spacing w:val="-1"/>
        </w:rPr>
        <w:t>分配，价格</w:t>
      </w:r>
      <w:r>
        <w:rPr>
          <w:spacing w:val="-2"/>
        </w:rPr>
        <w:t>取二家的平均价。</w:t>
      </w:r>
    </w:p>
    <w:p w14:paraId="05AF37D8">
      <w:pPr>
        <w:pStyle w:val="2"/>
        <w:spacing w:before="71" w:line="219" w:lineRule="auto"/>
        <w:ind w:left="464"/>
        <w:outlineLvl w:val="1"/>
      </w:pPr>
      <w:r>
        <w:rPr>
          <w:b/>
          <w:bCs/>
          <w:spacing w:val="-6"/>
        </w:rPr>
        <w:t>四、中标单价</w:t>
      </w:r>
    </w:p>
    <w:p w14:paraId="0D62B2B2">
      <w:pPr>
        <w:pStyle w:val="2"/>
        <w:spacing w:before="70" w:line="219" w:lineRule="auto"/>
        <w:ind w:left="445"/>
      </w:pPr>
      <w:r>
        <w:rPr>
          <w:spacing w:val="-1"/>
        </w:rPr>
        <w:t>为一票制含税（13%）送到价。</w:t>
      </w:r>
    </w:p>
    <w:p w14:paraId="31BCDAA7">
      <w:pPr>
        <w:pStyle w:val="2"/>
        <w:spacing w:before="73" w:line="220" w:lineRule="auto"/>
        <w:ind w:left="448"/>
        <w:outlineLvl w:val="1"/>
      </w:pPr>
      <w:r>
        <w:rPr>
          <w:b/>
          <w:bCs/>
          <w:spacing w:val="-3"/>
        </w:rPr>
        <w:t>五、结算数量</w:t>
      </w:r>
    </w:p>
    <w:p w14:paraId="6DB56C18">
      <w:pPr>
        <w:pStyle w:val="2"/>
        <w:spacing w:before="67" w:line="282" w:lineRule="auto"/>
        <w:ind w:left="21" w:right="239" w:firstLine="426"/>
      </w:pPr>
      <w:r>
        <w:t>到货石灰石在巨化物流公司磅房过磅，结算数量以岗位人员确认</w:t>
      </w:r>
      <w:r>
        <w:rPr>
          <w:spacing w:val="-1"/>
        </w:rPr>
        <w:t>的磅单数量为准</w:t>
      </w:r>
      <w:bookmarkStart w:id="0" w:name="_GoBack"/>
      <w:bookmarkEnd w:id="0"/>
      <w:r>
        <w:rPr>
          <w:spacing w:val="-1"/>
        </w:rPr>
        <w:t>，过</w:t>
      </w:r>
      <w:r>
        <w:rPr>
          <w:spacing w:val="-3"/>
        </w:rPr>
        <w:t>磅费由供应商承担。</w:t>
      </w:r>
    </w:p>
    <w:p w14:paraId="7157C203">
      <w:pPr>
        <w:pStyle w:val="2"/>
        <w:spacing w:before="1" w:line="219" w:lineRule="auto"/>
        <w:ind w:left="446"/>
        <w:outlineLvl w:val="1"/>
      </w:pPr>
      <w:r>
        <w:rPr>
          <w:b/>
          <w:bCs/>
          <w:spacing w:val="-3"/>
        </w:rPr>
        <w:t>六、货款支付方式</w:t>
      </w:r>
    </w:p>
    <w:p w14:paraId="4874E6EB">
      <w:pPr>
        <w:pStyle w:val="2"/>
        <w:spacing w:before="69" w:line="282" w:lineRule="auto"/>
        <w:ind w:left="27" w:right="240" w:firstLine="415"/>
      </w:pPr>
      <w:r>
        <w:t>每月结算日以实际到货石灰石量或在全部完成中标量后结算，按合同价结合</w:t>
      </w:r>
      <w:r>
        <w:rPr>
          <w:spacing w:val="-1"/>
        </w:rPr>
        <w:t>分析数据统计结算，货款为电子承兑汇票支付。</w:t>
      </w:r>
    </w:p>
    <w:p w14:paraId="772792B9">
      <w:pPr>
        <w:pStyle w:val="2"/>
        <w:spacing w:line="219" w:lineRule="auto"/>
        <w:ind w:left="444"/>
        <w:outlineLvl w:val="1"/>
      </w:pPr>
      <w:r>
        <w:rPr>
          <w:b/>
          <w:bCs/>
          <w:spacing w:val="-2"/>
        </w:rPr>
        <w:t>七、若中标单位因质量不合格或未按电化厂通知要求到货影响电化厂正常生产的，电</w:t>
      </w:r>
    </w:p>
    <w:p w14:paraId="3D37D699">
      <w:pPr>
        <w:pStyle w:val="2"/>
        <w:spacing w:before="70" w:line="219" w:lineRule="auto"/>
        <w:ind w:left="23"/>
      </w:pPr>
      <w:r>
        <w:rPr>
          <w:b/>
          <w:bCs/>
          <w:spacing w:val="-2"/>
        </w:rPr>
        <w:t>化厂有权要求中标单位停供整改、采取限制参与竞价、取消</w:t>
      </w:r>
      <w:r>
        <w:rPr>
          <w:b/>
          <w:bCs/>
          <w:spacing w:val="-3"/>
        </w:rPr>
        <w:t>电化厂合格供方资格。</w:t>
      </w:r>
    </w:p>
    <w:p w14:paraId="21FF911B">
      <w:pPr>
        <w:pStyle w:val="2"/>
        <w:spacing w:before="70" w:line="220" w:lineRule="auto"/>
        <w:ind w:left="448"/>
        <w:outlineLvl w:val="1"/>
      </w:pPr>
      <w:r>
        <w:rPr>
          <w:b/>
          <w:bCs/>
          <w:spacing w:val="-3"/>
        </w:rPr>
        <w:t>八、具体履约条款见合同。</w:t>
      </w:r>
    </w:p>
    <w:sectPr>
      <w:headerReference r:id="rId5" w:type="default"/>
      <w:footerReference r:id="rId6" w:type="default"/>
      <w:pgSz w:w="11906" w:h="16838"/>
      <w:pgMar w:top="1431" w:right="1669"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762E8">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574B9">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C8A14"/>
    <w:multiLevelType w:val="singleLevel"/>
    <w:tmpl w:val="252C8A1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841519"/>
    <w:rsid w:val="06B80563"/>
    <w:rsid w:val="38F42710"/>
    <w:rsid w:val="428C6AC2"/>
    <w:rsid w:val="56424475"/>
    <w:rsid w:val="5C3513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825</Words>
  <Characters>933</Characters>
  <TotalTime>23</TotalTime>
  <ScaleCrop>false</ScaleCrop>
  <LinksUpToDate>false</LinksUpToDate>
  <CharactersWithSpaces>979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2026-01-20T08:15:00Z</dcterms:created>
  <dc:creator>dhuser</dc:creator>
  <cp:lastModifiedBy>果果粑粑</cp:lastModifiedBy>
  <cp:lastPrinted>2026-07-27T01:17:00Z</cp:lastPrinted>
  <dcterms:modified xsi:type="dcterms:W3CDTF">2026-10-23T02:01:34Z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2026-01-20T08:15:47Z</vt:filetime>
  </property>
  <property fmtid="{D5CDD505-2E9C-101B-9397-08002B2CF9AE}" pid="4" name="KSOTemplateDocerSaveRecord">
    <vt:lpwstr>eyJoZGlkIjoiNzIyNGJlNWRlNTcyMjdjNGI2YjAyNmIzNmUxMWNiYjAiLCJ1c2VySWQiOiI4MDAyMzI5MzIifQ==</vt:lpwstr>
  </property>
  <property fmtid="{D5CDD505-2E9C-101B-9397-08002B2CF9AE}" pid="5" name="KSOProductBuildVer">
    <vt:lpwstr>2052-12.1.0.28505</vt:lpwstr>
  </property>
  <property fmtid="{D5CDD505-2E9C-101B-9397-08002B2CF9AE}" pid="6" name="ICV">
    <vt:lpwstr>092D2B32F70847D285C29C5B76CB5860_12</vt:lpwstr>
  </property>
</Properties>
</file>