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03B51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宋体" w:hAnsi="宋体" w:eastAsia="宋体" w:cs="宋体"/>
          <w:i w:val="0"/>
          <w:iCs w:val="0"/>
          <w:caps w:val="0"/>
          <w:color w:val="000000"/>
          <w:spacing w:val="0"/>
          <w:kern w:val="0"/>
          <w:sz w:val="20"/>
          <w:szCs w:val="20"/>
          <w:shd w:val="clear" w:fill="FFFFFF"/>
          <w:lang w:val="en-US" w:eastAsia="zh-CN" w:bidi="ar"/>
        </w:rPr>
      </w:pPr>
      <w:r>
        <w:rPr>
          <w:rFonts w:hint="eastAsia" w:ascii="宋体" w:cs="宋体"/>
          <w:b/>
          <w:bCs/>
          <w:color w:val="000000"/>
          <w:kern w:val="36"/>
          <w:sz w:val="36"/>
          <w:szCs w:val="36"/>
          <w:u w:val="none"/>
          <w:lang w:val="en-US" w:eastAsia="zh-CN"/>
        </w:rPr>
        <w:t>氢氧化钙</w:t>
      </w:r>
      <w:r>
        <w:rPr>
          <w:rFonts w:ascii="宋体" w:eastAsia="宋体" w:cs="宋体"/>
          <w:b/>
          <w:bCs/>
          <w:color w:val="000000"/>
          <w:kern w:val="36"/>
          <w:sz w:val="36"/>
          <w:szCs w:val="36"/>
          <w:u w:val="none"/>
        </w:rPr>
        <w:t>采购</w:t>
      </w:r>
      <w:r>
        <w:rPr>
          <w:rFonts w:hint="eastAsia" w:ascii="宋体" w:eastAsia="宋体" w:cs="宋体"/>
          <w:b/>
          <w:bCs/>
          <w:color w:val="000000"/>
          <w:kern w:val="36"/>
          <w:sz w:val="36"/>
          <w:szCs w:val="28"/>
          <w:lang w:val="en-US" w:eastAsia="zh-CN"/>
        </w:rPr>
        <w:t>竞价邀请函</w:t>
      </w:r>
    </w:p>
    <w:p w14:paraId="0E9C5A8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宋体" w:hAnsi="宋体" w:eastAsia="宋体" w:cs="宋体"/>
          <w:i w:val="0"/>
          <w:iCs w:val="0"/>
          <w:caps w:val="0"/>
          <w:color w:val="000000"/>
          <w:spacing w:val="0"/>
          <w:kern w:val="0"/>
          <w:sz w:val="18"/>
          <w:szCs w:val="18"/>
          <w:shd w:val="clear" w:fill="FFFFFF"/>
          <w:lang w:val="en-US" w:eastAsia="zh-CN" w:bidi="ar"/>
        </w:rPr>
      </w:pPr>
    </w:p>
    <w:p w14:paraId="5476180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宋体" w:hAnsi="宋体" w:eastAsia="宋体" w:cs="宋体"/>
          <w:i w:val="0"/>
          <w:iCs w:val="0"/>
          <w:caps w:val="0"/>
          <w:color w:val="000000"/>
          <w:spacing w:val="0"/>
          <w:kern w:val="0"/>
          <w:sz w:val="18"/>
          <w:szCs w:val="18"/>
          <w:shd w:val="clear" w:fill="FFFFFF"/>
          <w:lang w:val="en-US" w:eastAsia="zh-CN" w:bidi="ar"/>
        </w:rPr>
      </w:pPr>
    </w:p>
    <w:p w14:paraId="61B8B2D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i w:val="0"/>
          <w:iCs w:val="0"/>
          <w:caps w:val="0"/>
          <w:color w:val="000000"/>
          <w:spacing w:val="0"/>
          <w:kern w:val="0"/>
          <w:sz w:val="21"/>
          <w:szCs w:val="21"/>
          <w:shd w:val="clear" w:fill="FFFFFF"/>
          <w:lang w:val="en-US" w:eastAsia="zh-CN" w:bidi="ar"/>
        </w:rPr>
      </w:pPr>
      <w:r>
        <w:rPr>
          <w:rFonts w:hint="eastAsia" w:ascii="宋体" w:hAnsi="宋体" w:eastAsia="宋体" w:cs="宋体"/>
          <w:i w:val="0"/>
          <w:iCs w:val="0"/>
          <w:caps w:val="0"/>
          <w:color w:val="000000"/>
          <w:spacing w:val="0"/>
          <w:kern w:val="0"/>
          <w:sz w:val="21"/>
          <w:szCs w:val="21"/>
          <w:shd w:val="clear" w:fill="FFFFFF"/>
          <w:lang w:val="en-US" w:eastAsia="zh-CN" w:bidi="ar"/>
        </w:rPr>
        <w:t>尊敬的供应商：</w:t>
      </w:r>
    </w:p>
    <w:p w14:paraId="6055AAB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20" w:firstLineChars="200"/>
        <w:jc w:val="left"/>
        <w:rPr>
          <w:rFonts w:hint="eastAsia" w:ascii="宋体" w:hAnsi="宋体" w:eastAsia="宋体" w:cs="宋体"/>
          <w:i w:val="0"/>
          <w:iCs w:val="0"/>
          <w:caps w:val="0"/>
          <w:color w:val="000000"/>
          <w:spacing w:val="0"/>
          <w:kern w:val="0"/>
          <w:sz w:val="21"/>
          <w:szCs w:val="21"/>
          <w:shd w:val="clear" w:fill="FFFFFF"/>
          <w:lang w:val="en-US" w:eastAsia="zh-CN" w:bidi="ar"/>
        </w:rPr>
      </w:pPr>
      <w:r>
        <w:rPr>
          <w:rFonts w:hint="eastAsia" w:ascii="宋体" w:hAnsi="宋体" w:eastAsia="宋体" w:cs="宋体"/>
          <w:i w:val="0"/>
          <w:iCs w:val="0"/>
          <w:caps w:val="0"/>
          <w:color w:val="000000"/>
          <w:spacing w:val="0"/>
          <w:kern w:val="0"/>
          <w:sz w:val="21"/>
          <w:szCs w:val="21"/>
          <w:shd w:val="clear" w:fill="FFFFFF"/>
          <w:lang w:val="en-US" w:eastAsia="zh-CN" w:bidi="ar"/>
        </w:rPr>
        <w:t>现有衢州巨化锦纶有限责任公司将于2026年08月27日在公司供应商内竞比价采购氢氧化钙3000吨，竞比价模式为自由竞价，</w:t>
      </w:r>
      <w:r>
        <w:rPr>
          <w:rFonts w:hint="eastAsia" w:ascii="宋体" w:eastAsia="宋体" w:cs="宋体"/>
          <w:color w:val="000000"/>
          <w:kern w:val="0"/>
          <w:sz w:val="21"/>
          <w:szCs w:val="21"/>
        </w:rPr>
        <w:t>编号</w:t>
      </w:r>
      <w:r>
        <w:rPr>
          <w:rFonts w:ascii="宋体" w:eastAsia="宋体" w:cs="宋体"/>
          <w:color w:val="000000"/>
          <w:kern w:val="0"/>
          <w:sz w:val="28"/>
          <w:szCs w:val="28"/>
        </w:rPr>
        <w:t>：</w:t>
      </w:r>
      <w:r>
        <w:rPr>
          <w:rFonts w:hint="eastAsia" w:eastAsia="宋体"/>
          <w:b/>
          <w:bCs w:val="0"/>
          <w:sz w:val="28"/>
          <w:szCs w:val="28"/>
          <w:lang w:val="en-US" w:eastAsia="zh-CN"/>
        </w:rPr>
        <w:t>QYHG</w:t>
      </w:r>
      <w:r>
        <w:rPr>
          <w:b/>
          <w:bCs w:val="0"/>
          <w:sz w:val="28"/>
          <w:szCs w:val="28"/>
        </w:rPr>
        <w:t>202</w:t>
      </w:r>
      <w:r>
        <w:rPr>
          <w:rFonts w:hint="eastAsia"/>
          <w:b/>
          <w:bCs w:val="0"/>
          <w:sz w:val="28"/>
          <w:szCs w:val="28"/>
          <w:lang w:val="en-US" w:eastAsia="zh-CN"/>
        </w:rPr>
        <w:t>60827</w:t>
      </w:r>
      <w:r>
        <w:rPr>
          <w:rFonts w:hint="eastAsia"/>
          <w:b/>
          <w:sz w:val="32"/>
          <w:szCs w:val="32"/>
          <w:lang w:val="en-US" w:eastAsia="zh-CN"/>
        </w:rPr>
        <w:t>，</w:t>
      </w:r>
      <w:r>
        <w:rPr>
          <w:rFonts w:hint="eastAsia" w:ascii="宋体" w:hAnsi="宋体" w:eastAsia="宋体" w:cs="宋体"/>
          <w:i w:val="0"/>
          <w:iCs w:val="0"/>
          <w:caps w:val="0"/>
          <w:color w:val="000000"/>
          <w:spacing w:val="0"/>
          <w:kern w:val="0"/>
          <w:sz w:val="21"/>
          <w:szCs w:val="21"/>
          <w:shd w:val="clear" w:fill="FFFFFF"/>
          <w:lang w:val="en-US" w:eastAsia="zh-CN" w:bidi="ar"/>
        </w:rPr>
        <w:t>报价时间：</w:t>
      </w:r>
      <w:r>
        <w:rPr>
          <w:rFonts w:hint="eastAsia"/>
          <w:sz w:val="24"/>
          <w:szCs w:val="32"/>
        </w:rPr>
        <w:t>202</w:t>
      </w:r>
      <w:r>
        <w:rPr>
          <w:rFonts w:hint="eastAsia"/>
          <w:sz w:val="24"/>
          <w:szCs w:val="32"/>
          <w:lang w:val="en-US" w:eastAsia="zh-CN"/>
        </w:rPr>
        <w:t>6</w:t>
      </w:r>
      <w:r>
        <w:rPr>
          <w:rFonts w:hint="eastAsia"/>
          <w:sz w:val="24"/>
          <w:szCs w:val="32"/>
        </w:rPr>
        <w:t>-0</w:t>
      </w:r>
      <w:r>
        <w:rPr>
          <w:rFonts w:hint="eastAsia"/>
          <w:sz w:val="24"/>
          <w:szCs w:val="32"/>
          <w:lang w:val="en-US" w:eastAsia="zh-CN"/>
        </w:rPr>
        <w:t>8-27</w:t>
      </w:r>
      <w:r>
        <w:rPr>
          <w:rFonts w:hint="eastAsia"/>
          <w:sz w:val="24"/>
          <w:szCs w:val="32"/>
        </w:rPr>
        <w:t xml:space="preserve">  </w:t>
      </w:r>
      <w:r>
        <w:rPr>
          <w:rFonts w:hint="eastAsia"/>
          <w:sz w:val="24"/>
          <w:szCs w:val="32"/>
          <w:lang w:val="en-US" w:eastAsia="zh-CN"/>
        </w:rPr>
        <w:t>10</w:t>
      </w:r>
      <w:r>
        <w:rPr>
          <w:rFonts w:hint="eastAsia"/>
          <w:sz w:val="24"/>
          <w:szCs w:val="32"/>
        </w:rPr>
        <w:t>:</w:t>
      </w:r>
      <w:r>
        <w:rPr>
          <w:rFonts w:hint="eastAsia"/>
          <w:sz w:val="24"/>
          <w:szCs w:val="32"/>
          <w:lang w:val="en-US" w:eastAsia="zh-CN"/>
        </w:rPr>
        <w:t>3</w:t>
      </w:r>
      <w:r>
        <w:rPr>
          <w:rFonts w:hint="eastAsia"/>
          <w:sz w:val="24"/>
          <w:szCs w:val="32"/>
        </w:rPr>
        <w:t>0:00 至 202</w:t>
      </w:r>
      <w:r>
        <w:rPr>
          <w:rFonts w:hint="eastAsia"/>
          <w:sz w:val="24"/>
          <w:szCs w:val="32"/>
          <w:lang w:val="en-US" w:eastAsia="zh-CN"/>
        </w:rPr>
        <w:t>6</w:t>
      </w:r>
      <w:r>
        <w:rPr>
          <w:rFonts w:hint="eastAsia"/>
          <w:sz w:val="24"/>
          <w:szCs w:val="32"/>
        </w:rPr>
        <w:t>-0</w:t>
      </w:r>
      <w:r>
        <w:rPr>
          <w:rFonts w:hint="eastAsia"/>
          <w:sz w:val="24"/>
          <w:szCs w:val="32"/>
          <w:lang w:val="en-US" w:eastAsia="zh-CN"/>
        </w:rPr>
        <w:t>8</w:t>
      </w:r>
      <w:r>
        <w:rPr>
          <w:rFonts w:hint="eastAsia"/>
          <w:sz w:val="24"/>
          <w:szCs w:val="32"/>
        </w:rPr>
        <w:t>-</w:t>
      </w:r>
      <w:r>
        <w:rPr>
          <w:rFonts w:hint="eastAsia"/>
          <w:sz w:val="24"/>
          <w:szCs w:val="32"/>
          <w:lang w:val="en-US" w:eastAsia="zh-CN"/>
        </w:rPr>
        <w:t>27</w:t>
      </w:r>
      <w:r>
        <w:rPr>
          <w:rFonts w:hint="eastAsia"/>
          <w:sz w:val="24"/>
          <w:szCs w:val="32"/>
        </w:rPr>
        <w:t xml:space="preserve"> </w:t>
      </w:r>
      <w:r>
        <w:rPr>
          <w:rFonts w:hint="eastAsia"/>
          <w:sz w:val="24"/>
          <w:szCs w:val="32"/>
          <w:lang w:val="en-US" w:eastAsia="zh-CN"/>
        </w:rPr>
        <w:t>11</w:t>
      </w:r>
      <w:r>
        <w:rPr>
          <w:rFonts w:hint="eastAsia"/>
          <w:sz w:val="24"/>
          <w:szCs w:val="32"/>
        </w:rPr>
        <w:t>:</w:t>
      </w:r>
      <w:r>
        <w:rPr>
          <w:rFonts w:hint="eastAsia"/>
          <w:sz w:val="24"/>
          <w:szCs w:val="32"/>
          <w:lang w:val="en-US" w:eastAsia="zh-CN"/>
        </w:rPr>
        <w:t>0</w:t>
      </w:r>
      <w:r>
        <w:rPr>
          <w:rFonts w:hint="eastAsia"/>
          <w:sz w:val="24"/>
          <w:szCs w:val="32"/>
        </w:rPr>
        <w:t>0:00</w:t>
      </w:r>
      <w:r>
        <w:rPr>
          <w:rFonts w:hint="eastAsia" w:ascii="宋体" w:hAnsi="宋体" w:eastAsia="宋体" w:cs="宋体"/>
          <w:i w:val="0"/>
          <w:iCs w:val="0"/>
          <w:caps w:val="0"/>
          <w:color w:val="000000"/>
          <w:spacing w:val="0"/>
          <w:kern w:val="0"/>
          <w:sz w:val="21"/>
          <w:szCs w:val="21"/>
          <w:shd w:val="clear" w:fill="FFFFFF"/>
          <w:lang w:val="en-US" w:eastAsia="zh-CN" w:bidi="ar"/>
        </w:rPr>
        <w:t>。</w:t>
      </w:r>
    </w:p>
    <w:p w14:paraId="7EB1BAD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20" w:firstLineChars="200"/>
        <w:jc w:val="left"/>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kern w:val="0"/>
          <w:sz w:val="21"/>
          <w:szCs w:val="21"/>
          <w:shd w:val="clear" w:fill="FFFFFF"/>
          <w:lang w:val="en-US" w:eastAsia="zh-CN" w:bidi="ar"/>
        </w:rPr>
        <w:t>氢氧化钙供应指标如下：</w:t>
      </w:r>
      <w:r>
        <w:rPr>
          <w:rFonts w:hint="eastAsia" w:ascii="宋体" w:hAnsi="宋体" w:eastAsia="宋体" w:cs="宋体"/>
          <w:i w:val="0"/>
          <w:iCs w:val="0"/>
          <w:caps w:val="0"/>
          <w:color w:val="000000"/>
          <w:spacing w:val="0"/>
          <w:kern w:val="0"/>
          <w:sz w:val="18"/>
          <w:szCs w:val="18"/>
          <w:shd w:val="clear" w:fill="FFFFFF"/>
          <w:lang w:val="en-US" w:eastAsia="zh-CN" w:bidi="ar"/>
        </w:rPr>
        <w:t xml:space="preserve"> HG/T 4120-2024               </w:t>
      </w:r>
    </w:p>
    <w:tbl>
      <w:tblPr>
        <w:tblStyle w:val="2"/>
        <w:tblW w:w="7940" w:type="dxa"/>
        <w:jc w:val="center"/>
        <w:tblCellSpacing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4350"/>
        <w:gridCol w:w="3590"/>
      </w:tblGrid>
      <w:tr w14:paraId="1D9BDC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520" w:hRule="atLeast"/>
          <w:tblCellSpacing w:w="0" w:type="dxa"/>
          <w:jc w:val="center"/>
        </w:trPr>
        <w:tc>
          <w:tcPr>
            <w:tcW w:w="7940" w:type="dxa"/>
            <w:gridSpan w:val="2"/>
            <w:shd w:val="clear" w:color="auto" w:fill="FFFFFF"/>
            <w:tcMar>
              <w:top w:w="30" w:type="dxa"/>
              <w:left w:w="60" w:type="dxa"/>
              <w:bottom w:w="30" w:type="dxa"/>
              <w:right w:w="60" w:type="dxa"/>
            </w:tcMar>
            <w:vAlign w:val="center"/>
          </w:tcPr>
          <w:p w14:paraId="595730A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val="0"/>
                <w:sz w:val="21"/>
                <w:szCs w:val="21"/>
              </w:rPr>
            </w:pPr>
            <w:r>
              <w:rPr>
                <w:rFonts w:hint="eastAsia" w:ascii="宋体" w:hAnsi="宋体" w:eastAsia="宋体" w:cs="宋体"/>
                <w:b w:val="0"/>
                <w:bCs w:val="0"/>
                <w:i w:val="0"/>
                <w:iCs w:val="0"/>
                <w:caps w:val="0"/>
                <w:color w:val="000000"/>
                <w:spacing w:val="0"/>
                <w:kern w:val="0"/>
                <w:sz w:val="21"/>
                <w:szCs w:val="21"/>
                <w:vertAlign w:val="baseline"/>
                <w:lang w:val="en-US" w:eastAsia="zh-CN" w:bidi="ar"/>
              </w:rPr>
              <w:t>氢氧化钙产品质量指标</w:t>
            </w:r>
          </w:p>
        </w:tc>
      </w:tr>
      <w:tr w14:paraId="226D482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6" w:hRule="atLeast"/>
          <w:tblCellSpacing w:w="0" w:type="dxa"/>
          <w:jc w:val="center"/>
        </w:trPr>
        <w:tc>
          <w:tcPr>
            <w:tcW w:w="4350" w:type="dxa"/>
            <w:shd w:val="clear" w:color="auto" w:fill="FFFFFF"/>
            <w:tcMar>
              <w:top w:w="30" w:type="dxa"/>
              <w:left w:w="60" w:type="dxa"/>
              <w:bottom w:w="30" w:type="dxa"/>
              <w:right w:w="60" w:type="dxa"/>
            </w:tcMar>
            <w:vAlign w:val="center"/>
          </w:tcPr>
          <w:p w14:paraId="421BDC2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val="0"/>
                <w:sz w:val="21"/>
                <w:szCs w:val="21"/>
              </w:rPr>
            </w:pPr>
            <w:r>
              <w:rPr>
                <w:rFonts w:hint="eastAsia" w:ascii="宋体" w:hAnsi="宋体" w:eastAsia="宋体" w:cs="宋体"/>
                <w:b w:val="0"/>
                <w:bCs w:val="0"/>
                <w:i w:val="0"/>
                <w:iCs w:val="0"/>
                <w:caps w:val="0"/>
                <w:color w:val="auto"/>
                <w:spacing w:val="0"/>
                <w:kern w:val="0"/>
                <w:sz w:val="21"/>
                <w:szCs w:val="21"/>
                <w:vertAlign w:val="baseline"/>
                <w:lang w:val="en-US" w:eastAsia="zh-CN" w:bidi="ar"/>
              </w:rPr>
              <w:t>检   验   项   目</w:t>
            </w:r>
          </w:p>
        </w:tc>
        <w:tc>
          <w:tcPr>
            <w:tcW w:w="3590" w:type="dxa"/>
            <w:shd w:val="clear" w:color="auto" w:fill="FFFFFF"/>
            <w:tcMar>
              <w:top w:w="30" w:type="dxa"/>
              <w:left w:w="60" w:type="dxa"/>
              <w:bottom w:w="30" w:type="dxa"/>
              <w:right w:w="60" w:type="dxa"/>
            </w:tcMar>
            <w:vAlign w:val="center"/>
          </w:tcPr>
          <w:p w14:paraId="6BF6303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val="0"/>
                <w:sz w:val="21"/>
                <w:szCs w:val="21"/>
              </w:rPr>
            </w:pPr>
            <w:r>
              <w:rPr>
                <w:rFonts w:hint="eastAsia" w:ascii="宋体" w:hAnsi="宋体" w:eastAsia="宋体" w:cs="宋体"/>
                <w:b w:val="0"/>
                <w:bCs w:val="0"/>
                <w:i w:val="0"/>
                <w:iCs w:val="0"/>
                <w:caps w:val="0"/>
                <w:color w:val="auto"/>
                <w:spacing w:val="0"/>
                <w:kern w:val="0"/>
                <w:sz w:val="21"/>
                <w:szCs w:val="21"/>
                <w:vertAlign w:val="baseline"/>
                <w:lang w:val="en-US" w:eastAsia="zh-CN" w:bidi="ar"/>
              </w:rPr>
              <w:t>指    标</w:t>
            </w:r>
          </w:p>
        </w:tc>
      </w:tr>
      <w:tr w14:paraId="053D2E7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79" w:hRule="atLeast"/>
          <w:tblCellSpacing w:w="0" w:type="dxa"/>
          <w:jc w:val="center"/>
        </w:trPr>
        <w:tc>
          <w:tcPr>
            <w:tcW w:w="4350" w:type="dxa"/>
            <w:shd w:val="clear" w:color="auto" w:fill="FFFFFF"/>
            <w:tcMar>
              <w:top w:w="30" w:type="dxa"/>
              <w:left w:w="60" w:type="dxa"/>
              <w:bottom w:w="30" w:type="dxa"/>
              <w:right w:w="60" w:type="dxa"/>
            </w:tcMar>
            <w:vAlign w:val="center"/>
          </w:tcPr>
          <w:p w14:paraId="5CE3393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val="0"/>
                <w:sz w:val="21"/>
                <w:szCs w:val="21"/>
              </w:rPr>
            </w:pPr>
            <w:r>
              <w:rPr>
                <w:rFonts w:hint="eastAsia" w:ascii="宋体" w:hAnsi="宋体" w:eastAsia="宋体" w:cs="宋体"/>
                <w:b w:val="0"/>
                <w:bCs w:val="0"/>
                <w:i w:val="0"/>
                <w:iCs w:val="0"/>
                <w:caps w:val="0"/>
                <w:color w:val="auto"/>
                <w:spacing w:val="0"/>
                <w:kern w:val="0"/>
                <w:sz w:val="21"/>
                <w:szCs w:val="21"/>
                <w:vertAlign w:val="baseline"/>
                <w:lang w:val="en-US" w:eastAsia="zh-CN" w:bidi="ar"/>
              </w:rPr>
              <w:t>外      观</w:t>
            </w:r>
          </w:p>
        </w:tc>
        <w:tc>
          <w:tcPr>
            <w:tcW w:w="3590" w:type="dxa"/>
            <w:shd w:val="clear" w:color="auto" w:fill="FFFFFF"/>
            <w:tcMar>
              <w:top w:w="30" w:type="dxa"/>
              <w:left w:w="60" w:type="dxa"/>
              <w:bottom w:w="30" w:type="dxa"/>
              <w:right w:w="60" w:type="dxa"/>
            </w:tcMar>
            <w:vAlign w:val="center"/>
          </w:tcPr>
          <w:p w14:paraId="11ED181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b w:val="0"/>
                <w:bCs w:val="0"/>
                <w:sz w:val="21"/>
                <w:szCs w:val="21"/>
                <w:lang w:val="en-US"/>
              </w:rPr>
            </w:pPr>
            <w:r>
              <w:rPr>
                <w:rFonts w:hint="eastAsia" w:ascii="宋体" w:hAnsi="宋体" w:eastAsia="宋体" w:cs="宋体"/>
                <w:b w:val="0"/>
                <w:bCs w:val="0"/>
                <w:i w:val="0"/>
                <w:iCs w:val="0"/>
                <w:caps w:val="0"/>
                <w:color w:val="auto"/>
                <w:spacing w:val="0"/>
                <w:kern w:val="0"/>
                <w:sz w:val="21"/>
                <w:szCs w:val="21"/>
                <w:vertAlign w:val="baseline"/>
                <w:lang w:val="en-US" w:eastAsia="zh-CN" w:bidi="ar"/>
              </w:rPr>
              <w:t>白色粉末</w:t>
            </w:r>
          </w:p>
        </w:tc>
      </w:tr>
      <w:tr w14:paraId="65E6F1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13" w:hRule="atLeast"/>
          <w:tblCellSpacing w:w="0" w:type="dxa"/>
          <w:jc w:val="center"/>
        </w:trPr>
        <w:tc>
          <w:tcPr>
            <w:tcW w:w="4350" w:type="dxa"/>
            <w:shd w:val="clear" w:color="auto" w:fill="FFFFFF"/>
            <w:tcMar>
              <w:top w:w="30" w:type="dxa"/>
              <w:left w:w="60" w:type="dxa"/>
              <w:bottom w:w="30" w:type="dxa"/>
              <w:right w:w="60" w:type="dxa"/>
            </w:tcMar>
            <w:vAlign w:val="center"/>
          </w:tcPr>
          <w:p w14:paraId="412BBE7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val="0"/>
                <w:bCs w:val="0"/>
                <w:sz w:val="21"/>
                <w:szCs w:val="21"/>
              </w:rPr>
            </w:pPr>
            <w:r>
              <w:rPr>
                <w:rFonts w:hint="eastAsia" w:ascii="宋体" w:hAnsi="宋体" w:eastAsia="宋体" w:cs="宋体"/>
                <w:b w:val="0"/>
                <w:bCs w:val="0"/>
                <w:i w:val="0"/>
                <w:iCs w:val="0"/>
                <w:caps w:val="0"/>
                <w:color w:val="auto"/>
                <w:spacing w:val="0"/>
                <w:kern w:val="0"/>
                <w:sz w:val="21"/>
                <w:szCs w:val="21"/>
                <w:vertAlign w:val="baseline"/>
                <w:lang w:val="en-US" w:eastAsia="zh-CN" w:bidi="ar"/>
              </w:rPr>
              <w:t>氢氧化钙，%          ≥</w:t>
            </w:r>
          </w:p>
        </w:tc>
        <w:tc>
          <w:tcPr>
            <w:tcW w:w="3590" w:type="dxa"/>
            <w:shd w:val="clear" w:color="auto" w:fill="FFFFFF"/>
            <w:tcMar>
              <w:top w:w="30" w:type="dxa"/>
              <w:left w:w="60" w:type="dxa"/>
              <w:bottom w:w="30" w:type="dxa"/>
              <w:right w:w="60" w:type="dxa"/>
            </w:tcMar>
            <w:vAlign w:val="center"/>
          </w:tcPr>
          <w:p w14:paraId="1E81B88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b w:val="0"/>
                <w:bCs w:val="0"/>
                <w:i w:val="0"/>
                <w:iCs w:val="0"/>
                <w:caps w:val="0"/>
                <w:color w:val="auto"/>
                <w:spacing w:val="0"/>
                <w:kern w:val="0"/>
                <w:sz w:val="21"/>
                <w:szCs w:val="21"/>
                <w:vertAlign w:val="baseline"/>
                <w:lang w:val="en-US" w:eastAsia="zh-CN" w:bidi="ar"/>
              </w:rPr>
            </w:pPr>
            <w:r>
              <w:rPr>
                <w:rFonts w:hint="eastAsia" w:ascii="宋体" w:hAnsi="宋体" w:eastAsia="宋体" w:cs="宋体"/>
                <w:b w:val="0"/>
                <w:bCs w:val="0"/>
                <w:i w:val="0"/>
                <w:iCs w:val="0"/>
                <w:caps w:val="0"/>
                <w:color w:val="auto"/>
                <w:spacing w:val="0"/>
                <w:kern w:val="0"/>
                <w:sz w:val="21"/>
                <w:szCs w:val="21"/>
                <w:vertAlign w:val="baseline"/>
                <w:lang w:val="en-US" w:eastAsia="zh-CN" w:bidi="ar"/>
              </w:rPr>
              <w:t>95.0</w:t>
            </w:r>
          </w:p>
        </w:tc>
      </w:tr>
      <w:tr w14:paraId="52B6DAC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13" w:hRule="atLeast"/>
          <w:tblCellSpacing w:w="0" w:type="dxa"/>
          <w:jc w:val="center"/>
        </w:trPr>
        <w:tc>
          <w:tcPr>
            <w:tcW w:w="4350" w:type="dxa"/>
            <w:shd w:val="clear" w:color="auto" w:fill="FFFFFF"/>
            <w:tcMar>
              <w:top w:w="30" w:type="dxa"/>
              <w:left w:w="60" w:type="dxa"/>
              <w:bottom w:w="30" w:type="dxa"/>
              <w:right w:w="60" w:type="dxa"/>
            </w:tcMar>
            <w:vAlign w:val="center"/>
          </w:tcPr>
          <w:p w14:paraId="1629EFD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宋体" w:hAnsi="宋体" w:eastAsia="宋体" w:cs="宋体"/>
                <w:b w:val="0"/>
                <w:bCs w:val="0"/>
                <w:i w:val="0"/>
                <w:iCs w:val="0"/>
                <w:caps w:val="0"/>
                <w:color w:val="auto"/>
                <w:spacing w:val="0"/>
                <w:kern w:val="0"/>
                <w:sz w:val="21"/>
                <w:szCs w:val="21"/>
                <w:vertAlign w:val="baseline"/>
                <w:lang w:val="en-US" w:eastAsia="zh-CN" w:bidi="ar"/>
              </w:rPr>
            </w:pPr>
            <w:r>
              <w:rPr>
                <w:rFonts w:hint="eastAsia" w:ascii="宋体" w:hAnsi="宋体" w:eastAsia="宋体" w:cs="宋体"/>
                <w:b w:val="0"/>
                <w:bCs w:val="0"/>
                <w:i w:val="0"/>
                <w:iCs w:val="0"/>
                <w:caps w:val="0"/>
                <w:color w:val="auto"/>
                <w:spacing w:val="0"/>
                <w:kern w:val="0"/>
                <w:sz w:val="21"/>
                <w:szCs w:val="21"/>
                <w:vertAlign w:val="baseline"/>
                <w:lang w:val="en-US" w:eastAsia="zh-CN" w:bidi="ar"/>
              </w:rPr>
              <w:t>游离氧化钙，%              ≤</w:t>
            </w:r>
          </w:p>
        </w:tc>
        <w:tc>
          <w:tcPr>
            <w:tcW w:w="3590" w:type="dxa"/>
            <w:shd w:val="clear" w:color="auto" w:fill="FFFFFF"/>
            <w:tcMar>
              <w:top w:w="30" w:type="dxa"/>
              <w:left w:w="60" w:type="dxa"/>
              <w:bottom w:w="30" w:type="dxa"/>
              <w:right w:w="60" w:type="dxa"/>
            </w:tcMar>
            <w:vAlign w:val="center"/>
          </w:tcPr>
          <w:p w14:paraId="4D9F20B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b w:val="0"/>
                <w:bCs w:val="0"/>
                <w:i w:val="0"/>
                <w:iCs w:val="0"/>
                <w:caps w:val="0"/>
                <w:color w:val="auto"/>
                <w:spacing w:val="0"/>
                <w:kern w:val="0"/>
                <w:sz w:val="21"/>
                <w:szCs w:val="21"/>
                <w:vertAlign w:val="baseline"/>
                <w:lang w:val="en-US" w:eastAsia="zh-CN" w:bidi="ar"/>
              </w:rPr>
            </w:pPr>
            <w:r>
              <w:rPr>
                <w:rFonts w:hint="eastAsia" w:ascii="宋体" w:hAnsi="宋体" w:eastAsia="宋体" w:cs="宋体"/>
                <w:b w:val="0"/>
                <w:bCs w:val="0"/>
                <w:i w:val="0"/>
                <w:iCs w:val="0"/>
                <w:caps w:val="0"/>
                <w:color w:val="auto"/>
                <w:spacing w:val="0"/>
                <w:kern w:val="0"/>
                <w:sz w:val="21"/>
                <w:szCs w:val="21"/>
                <w:vertAlign w:val="baseline"/>
                <w:lang w:val="en-US" w:eastAsia="zh-CN" w:bidi="ar"/>
              </w:rPr>
              <w:t>2.5</w:t>
            </w:r>
          </w:p>
        </w:tc>
      </w:tr>
      <w:tr w14:paraId="0AA6815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0" w:hRule="atLeast"/>
          <w:tblCellSpacing w:w="0" w:type="dxa"/>
          <w:jc w:val="center"/>
        </w:trPr>
        <w:tc>
          <w:tcPr>
            <w:tcW w:w="4350" w:type="dxa"/>
            <w:shd w:val="clear" w:color="auto" w:fill="FFFFFF"/>
            <w:tcMar>
              <w:top w:w="30" w:type="dxa"/>
              <w:left w:w="60" w:type="dxa"/>
              <w:bottom w:w="30" w:type="dxa"/>
              <w:right w:w="60" w:type="dxa"/>
            </w:tcMar>
            <w:vAlign w:val="center"/>
          </w:tcPr>
          <w:p w14:paraId="1E2478E2">
            <w:pPr>
              <w:spacing w:line="288" w:lineRule="auto"/>
              <w:jc w:val="both"/>
              <w:rPr>
                <w:rFonts w:hint="eastAsia" w:ascii="宋体" w:hAnsi="宋体" w:eastAsia="宋体" w:cs="宋体"/>
                <w:b w:val="0"/>
                <w:bCs w:val="0"/>
                <w:sz w:val="21"/>
                <w:szCs w:val="21"/>
              </w:rPr>
            </w:pPr>
            <w:r>
              <w:rPr>
                <w:rFonts w:hint="eastAsia" w:ascii="宋体" w:cs="宋体"/>
                <w:b w:val="0"/>
                <w:bCs w:val="0"/>
                <w:color w:val="000000"/>
                <w:sz w:val="21"/>
                <w:szCs w:val="21"/>
                <w:lang w:val="en-US" w:eastAsia="zh-CN"/>
              </w:rPr>
              <w:t>氧化镁</w:t>
            </w:r>
            <w:r>
              <w:rPr>
                <w:rFonts w:hint="eastAsia" w:ascii="宋体" w:cs="宋体"/>
                <w:b w:val="0"/>
                <w:bCs w:val="0"/>
                <w:color w:val="000000"/>
                <w:sz w:val="21"/>
                <w:szCs w:val="21"/>
                <w:lang w:eastAsia="zh-CN"/>
              </w:rPr>
              <w:t>，</w:t>
            </w:r>
            <w:r>
              <w:rPr>
                <w:rFonts w:hint="eastAsia" w:ascii="宋体" w:cs="宋体"/>
                <w:b w:val="0"/>
                <w:bCs w:val="0"/>
                <w:color w:val="000000"/>
                <w:sz w:val="21"/>
                <w:szCs w:val="21"/>
              </w:rPr>
              <w:t>%</w:t>
            </w:r>
            <w:r>
              <w:rPr>
                <w:rFonts w:hint="eastAsia" w:ascii="宋体" w:cs="宋体"/>
                <w:b w:val="0"/>
                <w:bCs w:val="0"/>
                <w:color w:val="000000"/>
                <w:sz w:val="21"/>
                <w:szCs w:val="21"/>
                <w:lang w:val="en-US" w:eastAsia="zh-CN"/>
              </w:rPr>
              <w:t xml:space="preserve">              </w:t>
            </w:r>
            <w:r>
              <w:rPr>
                <w:rFonts w:hint="eastAsia" w:ascii="宋体" w:hAnsi="宋体" w:eastAsia="宋体" w:cs="宋体"/>
                <w:b w:val="0"/>
                <w:bCs w:val="0"/>
                <w:i w:val="0"/>
                <w:iCs w:val="0"/>
                <w:caps w:val="0"/>
                <w:color w:val="auto"/>
                <w:spacing w:val="0"/>
                <w:kern w:val="0"/>
                <w:sz w:val="21"/>
                <w:szCs w:val="21"/>
                <w:vertAlign w:val="baseline"/>
                <w:lang w:val="en-US" w:eastAsia="zh-CN" w:bidi="ar"/>
              </w:rPr>
              <w:t>≤</w:t>
            </w:r>
          </w:p>
        </w:tc>
        <w:tc>
          <w:tcPr>
            <w:tcW w:w="3590" w:type="dxa"/>
            <w:shd w:val="clear" w:color="auto" w:fill="FFFFFF"/>
            <w:tcMar>
              <w:top w:w="30" w:type="dxa"/>
              <w:left w:w="60" w:type="dxa"/>
              <w:bottom w:w="30" w:type="dxa"/>
              <w:right w:w="60" w:type="dxa"/>
            </w:tcMar>
            <w:vAlign w:val="center"/>
          </w:tcPr>
          <w:p w14:paraId="4AC7F0C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b w:val="0"/>
                <w:bCs w:val="0"/>
                <w:i w:val="0"/>
                <w:iCs w:val="0"/>
                <w:caps w:val="0"/>
                <w:color w:val="auto"/>
                <w:spacing w:val="0"/>
                <w:kern w:val="0"/>
                <w:sz w:val="21"/>
                <w:szCs w:val="21"/>
                <w:vertAlign w:val="baseline"/>
                <w:lang w:val="en-US" w:eastAsia="zh-CN" w:bidi="ar"/>
              </w:rPr>
            </w:pPr>
            <w:r>
              <w:rPr>
                <w:rFonts w:hint="eastAsia" w:ascii="宋体" w:hAnsi="宋体" w:eastAsia="宋体" w:cs="宋体"/>
                <w:b w:val="0"/>
                <w:bCs w:val="0"/>
                <w:i w:val="0"/>
                <w:iCs w:val="0"/>
                <w:caps w:val="0"/>
                <w:color w:val="auto"/>
                <w:spacing w:val="0"/>
                <w:kern w:val="0"/>
                <w:sz w:val="21"/>
                <w:szCs w:val="21"/>
                <w:vertAlign w:val="baseline"/>
                <w:lang w:val="en-US" w:eastAsia="zh-CN" w:bidi="ar"/>
              </w:rPr>
              <w:t>1.5</w:t>
            </w:r>
          </w:p>
        </w:tc>
      </w:tr>
      <w:tr w14:paraId="15B5C5C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49" w:hRule="atLeast"/>
          <w:tblCellSpacing w:w="0" w:type="dxa"/>
          <w:jc w:val="center"/>
        </w:trPr>
        <w:tc>
          <w:tcPr>
            <w:tcW w:w="4350" w:type="dxa"/>
            <w:shd w:val="clear" w:color="auto" w:fill="FFFFFF"/>
            <w:tcMar>
              <w:top w:w="30" w:type="dxa"/>
              <w:left w:w="60" w:type="dxa"/>
              <w:bottom w:w="30" w:type="dxa"/>
              <w:right w:w="60" w:type="dxa"/>
            </w:tcMar>
            <w:vAlign w:val="center"/>
          </w:tcPr>
          <w:p w14:paraId="272E217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val="0"/>
                <w:bCs w:val="0"/>
                <w:sz w:val="21"/>
                <w:szCs w:val="21"/>
              </w:rPr>
            </w:pPr>
            <w:r>
              <w:rPr>
                <w:rFonts w:hint="eastAsia" w:ascii="宋体" w:cs="宋体"/>
                <w:b w:val="0"/>
                <w:bCs w:val="0"/>
                <w:color w:val="000000"/>
                <w:sz w:val="21"/>
                <w:szCs w:val="21"/>
              </w:rPr>
              <w:t>酸不溶物</w:t>
            </w:r>
            <w:r>
              <w:rPr>
                <w:rFonts w:hint="eastAsia" w:ascii="宋体" w:hAnsi="宋体" w:eastAsia="宋体" w:cs="宋体"/>
                <w:b w:val="0"/>
                <w:bCs w:val="0"/>
                <w:i w:val="0"/>
                <w:iCs w:val="0"/>
                <w:caps w:val="0"/>
                <w:color w:val="auto"/>
                <w:spacing w:val="0"/>
                <w:kern w:val="0"/>
                <w:sz w:val="21"/>
                <w:szCs w:val="21"/>
                <w:vertAlign w:val="baseline"/>
                <w:lang w:val="en-US" w:eastAsia="zh-CN" w:bidi="ar"/>
              </w:rPr>
              <w:t>，%           ≤</w:t>
            </w:r>
          </w:p>
        </w:tc>
        <w:tc>
          <w:tcPr>
            <w:tcW w:w="3590" w:type="dxa"/>
            <w:shd w:val="clear" w:color="auto" w:fill="FFFFFF"/>
            <w:tcMar>
              <w:top w:w="30" w:type="dxa"/>
              <w:left w:w="60" w:type="dxa"/>
              <w:bottom w:w="30" w:type="dxa"/>
              <w:right w:w="60" w:type="dxa"/>
            </w:tcMar>
            <w:vAlign w:val="center"/>
          </w:tcPr>
          <w:p w14:paraId="6658A3D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b w:val="0"/>
                <w:bCs w:val="0"/>
                <w:i w:val="0"/>
                <w:iCs w:val="0"/>
                <w:caps w:val="0"/>
                <w:color w:val="auto"/>
                <w:spacing w:val="0"/>
                <w:kern w:val="0"/>
                <w:sz w:val="21"/>
                <w:szCs w:val="21"/>
                <w:vertAlign w:val="baseline"/>
                <w:lang w:val="en-US" w:eastAsia="zh-CN" w:bidi="ar"/>
              </w:rPr>
            </w:pPr>
            <w:r>
              <w:rPr>
                <w:rFonts w:hint="eastAsia" w:ascii="宋体" w:hAnsi="宋体" w:eastAsia="宋体" w:cs="宋体"/>
                <w:b w:val="0"/>
                <w:bCs w:val="0"/>
                <w:i w:val="0"/>
                <w:iCs w:val="0"/>
                <w:caps w:val="0"/>
                <w:color w:val="auto"/>
                <w:spacing w:val="0"/>
                <w:kern w:val="0"/>
                <w:sz w:val="21"/>
                <w:szCs w:val="21"/>
                <w:vertAlign w:val="baseline"/>
                <w:lang w:val="en-US" w:eastAsia="zh-CN" w:bidi="ar"/>
              </w:rPr>
              <w:t>0.25</w:t>
            </w:r>
          </w:p>
        </w:tc>
      </w:tr>
      <w:tr w14:paraId="25E6BDF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4" w:hRule="atLeast"/>
          <w:tblCellSpacing w:w="0" w:type="dxa"/>
          <w:jc w:val="center"/>
        </w:trPr>
        <w:tc>
          <w:tcPr>
            <w:tcW w:w="4350" w:type="dxa"/>
            <w:shd w:val="clear" w:color="auto" w:fill="FFFFFF"/>
            <w:tcMar>
              <w:top w:w="30" w:type="dxa"/>
              <w:left w:w="60" w:type="dxa"/>
              <w:bottom w:w="30" w:type="dxa"/>
              <w:right w:w="60" w:type="dxa"/>
            </w:tcMar>
            <w:vAlign w:val="center"/>
          </w:tcPr>
          <w:p w14:paraId="01AB179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val="0"/>
                <w:bCs w:val="0"/>
                <w:sz w:val="21"/>
                <w:szCs w:val="21"/>
              </w:rPr>
            </w:pPr>
            <w:r>
              <w:rPr>
                <w:rFonts w:hint="eastAsia" w:ascii="宋体" w:cs="宋体"/>
                <w:b w:val="0"/>
                <w:bCs w:val="0"/>
                <w:color w:val="000000"/>
                <w:sz w:val="21"/>
                <w:szCs w:val="21"/>
              </w:rPr>
              <w:t>铁</w:t>
            </w:r>
            <w:r>
              <w:rPr>
                <w:rFonts w:hint="eastAsia" w:ascii="宋体" w:hAnsi="宋体" w:eastAsia="宋体" w:cs="宋体"/>
                <w:b w:val="0"/>
                <w:bCs w:val="0"/>
                <w:i w:val="0"/>
                <w:iCs w:val="0"/>
                <w:caps w:val="0"/>
                <w:color w:val="auto"/>
                <w:spacing w:val="0"/>
                <w:kern w:val="0"/>
                <w:sz w:val="21"/>
                <w:szCs w:val="21"/>
                <w:vertAlign w:val="baseline"/>
                <w:lang w:val="en-US" w:eastAsia="zh-CN" w:bidi="ar"/>
              </w:rPr>
              <w:t>，%              ≤</w:t>
            </w:r>
          </w:p>
        </w:tc>
        <w:tc>
          <w:tcPr>
            <w:tcW w:w="3590" w:type="dxa"/>
            <w:shd w:val="clear" w:color="auto" w:fill="FFFFFF"/>
            <w:tcMar>
              <w:top w:w="30" w:type="dxa"/>
              <w:left w:w="60" w:type="dxa"/>
              <w:bottom w:w="30" w:type="dxa"/>
              <w:right w:w="60" w:type="dxa"/>
            </w:tcMar>
            <w:vAlign w:val="center"/>
          </w:tcPr>
          <w:p w14:paraId="5652168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b w:val="0"/>
                <w:bCs w:val="0"/>
                <w:i w:val="0"/>
                <w:iCs w:val="0"/>
                <w:caps w:val="0"/>
                <w:color w:val="auto"/>
                <w:spacing w:val="0"/>
                <w:kern w:val="0"/>
                <w:sz w:val="21"/>
                <w:szCs w:val="21"/>
                <w:vertAlign w:val="baseline"/>
                <w:lang w:val="en-US" w:eastAsia="zh-CN" w:bidi="ar"/>
              </w:rPr>
            </w:pPr>
            <w:r>
              <w:rPr>
                <w:rFonts w:hint="eastAsia" w:ascii="宋体" w:hAnsi="宋体" w:eastAsia="宋体" w:cs="宋体"/>
                <w:b w:val="0"/>
                <w:bCs w:val="0"/>
                <w:i w:val="0"/>
                <w:iCs w:val="0"/>
                <w:caps w:val="0"/>
                <w:color w:val="auto"/>
                <w:spacing w:val="0"/>
                <w:kern w:val="0"/>
                <w:sz w:val="21"/>
                <w:szCs w:val="21"/>
                <w:vertAlign w:val="baseline"/>
                <w:lang w:val="en-US" w:eastAsia="zh-CN" w:bidi="ar"/>
              </w:rPr>
              <w:t>0.1</w:t>
            </w:r>
          </w:p>
        </w:tc>
      </w:tr>
      <w:tr w14:paraId="5D68997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08" w:hRule="atLeast"/>
          <w:tblCellSpacing w:w="0" w:type="dxa"/>
          <w:jc w:val="center"/>
        </w:trPr>
        <w:tc>
          <w:tcPr>
            <w:tcW w:w="4350" w:type="dxa"/>
            <w:shd w:val="clear" w:color="auto" w:fill="FFFFFF"/>
            <w:tcMar>
              <w:top w:w="30" w:type="dxa"/>
              <w:left w:w="60" w:type="dxa"/>
              <w:bottom w:w="30" w:type="dxa"/>
              <w:right w:w="60" w:type="dxa"/>
            </w:tcMar>
            <w:vAlign w:val="center"/>
          </w:tcPr>
          <w:p w14:paraId="324E001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val="0"/>
                <w:bCs w:val="0"/>
                <w:sz w:val="21"/>
                <w:szCs w:val="21"/>
              </w:rPr>
            </w:pPr>
            <w:r>
              <w:rPr>
                <w:rFonts w:hint="eastAsia" w:ascii="宋体" w:cs="宋体"/>
                <w:b w:val="0"/>
                <w:bCs w:val="0"/>
                <w:color w:val="000000"/>
                <w:sz w:val="21"/>
                <w:szCs w:val="21"/>
              </w:rPr>
              <w:t>干燥减量</w:t>
            </w:r>
            <w:r>
              <w:rPr>
                <w:rFonts w:hint="eastAsia" w:ascii="宋体" w:hAnsi="宋体" w:eastAsia="宋体" w:cs="宋体"/>
                <w:b w:val="0"/>
                <w:bCs w:val="0"/>
                <w:i w:val="0"/>
                <w:iCs w:val="0"/>
                <w:caps w:val="0"/>
                <w:color w:val="000000"/>
                <w:spacing w:val="0"/>
                <w:kern w:val="0"/>
                <w:sz w:val="21"/>
                <w:szCs w:val="21"/>
                <w:vertAlign w:val="baseline"/>
                <w:lang w:val="en-US" w:eastAsia="zh-CN" w:bidi="ar"/>
              </w:rPr>
              <w:t>，%        ≤</w:t>
            </w:r>
          </w:p>
        </w:tc>
        <w:tc>
          <w:tcPr>
            <w:tcW w:w="3590" w:type="dxa"/>
            <w:shd w:val="clear" w:color="auto" w:fill="FFFFFF"/>
            <w:tcMar>
              <w:top w:w="30" w:type="dxa"/>
              <w:left w:w="60" w:type="dxa"/>
              <w:bottom w:w="30" w:type="dxa"/>
              <w:right w:w="60" w:type="dxa"/>
            </w:tcMar>
            <w:vAlign w:val="center"/>
          </w:tcPr>
          <w:p w14:paraId="20820DC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b w:val="0"/>
                <w:bCs w:val="0"/>
                <w:i w:val="0"/>
                <w:iCs w:val="0"/>
                <w:caps w:val="0"/>
                <w:color w:val="auto"/>
                <w:spacing w:val="0"/>
                <w:kern w:val="0"/>
                <w:sz w:val="21"/>
                <w:szCs w:val="21"/>
                <w:vertAlign w:val="baseline"/>
                <w:lang w:val="en-US" w:eastAsia="zh-CN" w:bidi="ar"/>
              </w:rPr>
            </w:pPr>
            <w:r>
              <w:rPr>
                <w:rFonts w:hint="eastAsia" w:ascii="宋体" w:hAnsi="宋体" w:eastAsia="宋体" w:cs="宋体"/>
                <w:b w:val="0"/>
                <w:bCs w:val="0"/>
                <w:i w:val="0"/>
                <w:iCs w:val="0"/>
                <w:caps w:val="0"/>
                <w:color w:val="auto"/>
                <w:spacing w:val="0"/>
                <w:kern w:val="0"/>
                <w:sz w:val="21"/>
                <w:szCs w:val="21"/>
                <w:vertAlign w:val="baseline"/>
                <w:lang w:val="en-US" w:eastAsia="zh-CN" w:bidi="ar"/>
              </w:rPr>
              <w:t>1.0</w:t>
            </w:r>
          </w:p>
        </w:tc>
      </w:tr>
      <w:tr w14:paraId="4C1E8A4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53" w:hRule="atLeast"/>
          <w:tblCellSpacing w:w="0" w:type="dxa"/>
          <w:jc w:val="center"/>
        </w:trPr>
        <w:tc>
          <w:tcPr>
            <w:tcW w:w="4350" w:type="dxa"/>
            <w:shd w:val="clear" w:color="auto" w:fill="FFFFFF"/>
            <w:tcMar>
              <w:top w:w="30" w:type="dxa"/>
              <w:left w:w="60" w:type="dxa"/>
              <w:bottom w:w="30" w:type="dxa"/>
              <w:right w:w="60" w:type="dxa"/>
            </w:tcMar>
            <w:vAlign w:val="center"/>
          </w:tcPr>
          <w:p w14:paraId="4CDA0CB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val="0"/>
                <w:bCs w:val="0"/>
                <w:sz w:val="21"/>
                <w:szCs w:val="21"/>
              </w:rPr>
            </w:pPr>
            <w:r>
              <w:rPr>
                <w:rFonts w:hint="eastAsia" w:ascii="宋体" w:cs="宋体"/>
                <w:b w:val="0"/>
                <w:bCs w:val="0"/>
                <w:color w:val="000000"/>
                <w:sz w:val="21"/>
                <w:szCs w:val="21"/>
              </w:rPr>
              <w:t>筛余物（0.045mm试验筛）</w:t>
            </w:r>
            <w:r>
              <w:rPr>
                <w:rFonts w:hint="eastAsia" w:ascii="宋体" w:hAnsi="宋体" w:eastAsia="宋体" w:cs="宋体"/>
                <w:b w:val="0"/>
                <w:bCs w:val="0"/>
                <w:i w:val="0"/>
                <w:iCs w:val="0"/>
                <w:caps w:val="0"/>
                <w:color w:val="auto"/>
                <w:spacing w:val="0"/>
                <w:kern w:val="0"/>
                <w:sz w:val="21"/>
                <w:szCs w:val="21"/>
                <w:vertAlign w:val="baseline"/>
                <w:lang w:val="en-US" w:eastAsia="zh-CN" w:bidi="ar"/>
              </w:rPr>
              <w:t>,％ ≤</w:t>
            </w:r>
          </w:p>
        </w:tc>
        <w:tc>
          <w:tcPr>
            <w:tcW w:w="3590" w:type="dxa"/>
            <w:shd w:val="clear" w:color="auto" w:fill="FFFFFF"/>
            <w:tcMar>
              <w:top w:w="30" w:type="dxa"/>
              <w:left w:w="60" w:type="dxa"/>
              <w:bottom w:w="30" w:type="dxa"/>
              <w:right w:w="60" w:type="dxa"/>
            </w:tcMar>
            <w:vAlign w:val="center"/>
          </w:tcPr>
          <w:p w14:paraId="7AC36C9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val="0"/>
                <w:sz w:val="21"/>
                <w:szCs w:val="21"/>
              </w:rPr>
            </w:pPr>
            <w:r>
              <w:rPr>
                <w:rFonts w:hint="eastAsia" w:ascii="宋体" w:hAnsi="宋体" w:eastAsia="宋体" w:cs="宋体"/>
                <w:b w:val="0"/>
                <w:bCs w:val="0"/>
                <w:i w:val="0"/>
                <w:iCs w:val="0"/>
                <w:caps w:val="0"/>
                <w:color w:val="auto"/>
                <w:spacing w:val="0"/>
                <w:kern w:val="0"/>
                <w:sz w:val="21"/>
                <w:szCs w:val="21"/>
                <w:vertAlign w:val="baseline"/>
                <w:lang w:val="en-US" w:eastAsia="zh-CN" w:bidi="ar"/>
              </w:rPr>
              <w:t>5</w:t>
            </w:r>
          </w:p>
        </w:tc>
      </w:tr>
    </w:tbl>
    <w:p w14:paraId="0873ABE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shd w:val="clear" w:fill="FFFFFF"/>
          <w:lang w:val="en-US" w:eastAsia="zh-CN" w:bidi="ar"/>
        </w:rPr>
        <w:t>【交易流程】</w:t>
      </w:r>
    </w:p>
    <w:p w14:paraId="1ACD5398">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i w:val="0"/>
          <w:iCs w:val="0"/>
          <w:caps w:val="0"/>
          <w:color w:val="000000"/>
          <w:spacing w:val="0"/>
          <w:kern w:val="0"/>
          <w:sz w:val="21"/>
          <w:szCs w:val="21"/>
          <w:shd w:val="clear" w:fill="FFFFFF"/>
          <w:lang w:val="en-US" w:eastAsia="zh-CN" w:bidi="ar"/>
        </w:rPr>
      </w:pPr>
      <w:r>
        <w:rPr>
          <w:rFonts w:hint="eastAsia" w:ascii="宋体" w:hAnsi="宋体" w:eastAsia="宋体" w:cs="宋体"/>
          <w:i w:val="0"/>
          <w:iCs w:val="0"/>
          <w:caps w:val="0"/>
          <w:color w:val="000000"/>
          <w:spacing w:val="0"/>
          <w:kern w:val="0"/>
          <w:sz w:val="21"/>
          <w:szCs w:val="21"/>
          <w:shd w:val="clear" w:fill="FFFFFF"/>
          <w:lang w:val="en-US" w:eastAsia="zh-CN" w:bidi="ar"/>
        </w:rPr>
        <w:t>报价单位为我公司的合格供应商。</w:t>
      </w:r>
    </w:p>
    <w:p w14:paraId="4573AE0F">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i w:val="0"/>
          <w:iCs w:val="0"/>
          <w:caps w:val="0"/>
          <w:color w:val="000000"/>
          <w:spacing w:val="0"/>
          <w:kern w:val="0"/>
          <w:sz w:val="18"/>
          <w:szCs w:val="18"/>
          <w:shd w:val="clear" w:fill="FFFFFF"/>
          <w:lang w:val="en-US" w:eastAsia="zh-CN" w:bidi="ar"/>
        </w:rPr>
      </w:pPr>
      <w:r>
        <w:rPr>
          <w:rFonts w:hint="eastAsia" w:ascii="宋体" w:hAnsi="宋体" w:eastAsia="宋体" w:cs="宋体"/>
          <w:i w:val="0"/>
          <w:iCs w:val="0"/>
          <w:caps w:val="0"/>
          <w:color w:val="000000"/>
          <w:spacing w:val="0"/>
          <w:kern w:val="0"/>
          <w:sz w:val="21"/>
          <w:szCs w:val="21"/>
          <w:shd w:val="clear" w:fill="FFFFFF"/>
          <w:lang w:val="en-US" w:eastAsia="zh-CN" w:bidi="ar"/>
        </w:rPr>
        <w:t>参加竞价的会员在巨化数字商城报价，在</w:t>
      </w:r>
      <w:bookmarkStart w:id="0" w:name="_GoBack"/>
      <w:bookmarkEnd w:id="0"/>
      <w:r>
        <w:rPr>
          <w:rFonts w:hint="eastAsia" w:ascii="宋体" w:hAnsi="宋体" w:eastAsia="宋体" w:cs="宋体"/>
          <w:i w:val="0"/>
          <w:iCs w:val="0"/>
          <w:caps w:val="0"/>
          <w:color w:val="000000"/>
          <w:spacing w:val="0"/>
          <w:kern w:val="0"/>
          <w:sz w:val="21"/>
          <w:szCs w:val="21"/>
          <w:shd w:val="clear" w:fill="FFFFFF"/>
          <w:lang w:val="en-US" w:eastAsia="zh-CN" w:bidi="ar"/>
        </w:rPr>
        <w:t>竞价时间内，</w:t>
      </w:r>
      <w:r>
        <w:rPr>
          <w:rFonts w:hint="eastAsia" w:ascii="宋体" w:hAnsi="宋体" w:eastAsia="宋体" w:cs="宋体"/>
          <w:i w:val="0"/>
          <w:iCs w:val="0"/>
          <w:caps w:val="0"/>
          <w:color w:val="000000"/>
          <w:spacing w:val="0"/>
          <w:sz w:val="21"/>
          <w:szCs w:val="21"/>
          <w:shd w:val="clear" w:fill="FFFFFF"/>
        </w:rPr>
        <w:t>用户可以多次报价直至竞价结束，以最后一次报价为准，报价为一票制到货价。</w:t>
      </w:r>
      <w:r>
        <w:rPr>
          <w:rFonts w:hint="eastAsia" w:ascii="宋体" w:hAnsi="宋体" w:eastAsia="宋体" w:cs="宋体"/>
          <w:i w:val="0"/>
          <w:iCs w:val="0"/>
          <w:caps w:val="0"/>
          <w:color w:val="000000"/>
          <w:spacing w:val="0"/>
          <w:sz w:val="21"/>
          <w:szCs w:val="21"/>
          <w:shd w:val="clear" w:fill="FFFFFF"/>
          <w:lang w:val="en-US" w:eastAsia="zh-CN"/>
        </w:rPr>
        <w:t>送货时间</w:t>
      </w:r>
      <w:r>
        <w:rPr>
          <w:rFonts w:hint="eastAsia" w:ascii="宋体" w:hAnsi="宋体" w:eastAsia="宋体" w:cs="宋体"/>
          <w:i w:val="0"/>
          <w:iCs w:val="0"/>
          <w:caps w:val="0"/>
          <w:color w:val="000000"/>
          <w:spacing w:val="0"/>
          <w:kern w:val="0"/>
          <w:sz w:val="21"/>
          <w:szCs w:val="21"/>
          <w:shd w:val="clear" w:fill="FFFFFF"/>
          <w:lang w:val="en-US" w:eastAsia="zh-CN" w:bidi="ar"/>
        </w:rPr>
        <w:t>2026年08月30日至2026年9月30日。（供货时间和供货量详情见合同）</w:t>
      </w:r>
    </w:p>
    <w:p w14:paraId="7195B68D">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Chars="0" w:right="0" w:rightChars="0"/>
        <w:jc w:val="left"/>
        <w:rPr>
          <w:rFonts w:hint="eastAsia" w:ascii="宋体" w:hAnsi="宋体" w:eastAsia="宋体" w:cs="宋体"/>
          <w:i w:val="0"/>
          <w:iCs w:val="0"/>
          <w:caps w:val="0"/>
          <w:color w:val="000000"/>
          <w:spacing w:val="0"/>
          <w:kern w:val="0"/>
          <w:sz w:val="21"/>
          <w:szCs w:val="21"/>
          <w:shd w:val="clear" w:fill="FFFFFF"/>
          <w:lang w:val="en-US" w:eastAsia="zh-CN" w:bidi="ar"/>
        </w:rPr>
      </w:pPr>
      <w:r>
        <w:rPr>
          <w:rFonts w:hint="eastAsia" w:ascii="宋体" w:hAnsi="宋体" w:eastAsia="宋体" w:cs="宋体"/>
          <w:i w:val="0"/>
          <w:iCs w:val="0"/>
          <w:caps w:val="0"/>
          <w:color w:val="000000"/>
          <w:spacing w:val="0"/>
          <w:kern w:val="0"/>
          <w:sz w:val="21"/>
          <w:szCs w:val="21"/>
          <w:shd w:val="clear" w:fill="FFFFFF"/>
          <w:lang w:val="en-US" w:eastAsia="zh-CN" w:bidi="ar"/>
        </w:rPr>
        <w:t>3、衢州巨化锦纶有限责任公司将对每车货物进行检测。如发现质量问题，将立即终止合同，供应方承担违约责任。</w:t>
      </w:r>
    </w:p>
    <w:p w14:paraId="570C3BEB">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Chars="0" w:right="0" w:rightChars="0"/>
        <w:jc w:val="left"/>
        <w:rPr>
          <w:rFonts w:hint="eastAsia" w:ascii="宋体" w:hAnsi="宋体" w:eastAsia="宋体" w:cs="宋体"/>
          <w:i w:val="0"/>
          <w:iCs w:val="0"/>
          <w:caps w:val="0"/>
          <w:color w:val="000000"/>
          <w:spacing w:val="0"/>
          <w:kern w:val="0"/>
          <w:sz w:val="21"/>
          <w:szCs w:val="21"/>
          <w:shd w:val="clear" w:fill="FFFFFF"/>
          <w:lang w:val="en-US" w:eastAsia="zh-CN" w:bidi="ar"/>
        </w:rPr>
      </w:pPr>
      <w:r>
        <w:rPr>
          <w:rFonts w:hint="eastAsia" w:ascii="宋体" w:hAnsi="宋体" w:eastAsia="宋体" w:cs="宋体"/>
          <w:i w:val="0"/>
          <w:iCs w:val="0"/>
          <w:caps w:val="0"/>
          <w:color w:val="000000"/>
          <w:spacing w:val="0"/>
          <w:kern w:val="0"/>
          <w:sz w:val="21"/>
          <w:szCs w:val="21"/>
          <w:shd w:val="clear" w:fill="FFFFFF"/>
          <w:lang w:val="en-US" w:eastAsia="zh-CN" w:bidi="ar"/>
        </w:rPr>
        <w:t>4、竞价结束后，由我司监察室监督下组织对本次竞价采购进行评标，确定中标单位并予以公示。公示结束后，成交双方签署合同,按照合同要求履行。</w:t>
      </w:r>
    </w:p>
    <w:p w14:paraId="1FE28C12">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Chars="0" w:right="0" w:rightChars="0"/>
        <w:jc w:val="left"/>
        <w:rPr>
          <w:rFonts w:hint="eastAsia" w:ascii="宋体" w:hAnsi="宋体" w:eastAsia="宋体" w:cs="宋体"/>
          <w:i w:val="0"/>
          <w:iCs w:val="0"/>
          <w:caps w:val="0"/>
          <w:color w:val="000000"/>
          <w:spacing w:val="0"/>
          <w:kern w:val="0"/>
          <w:sz w:val="21"/>
          <w:szCs w:val="21"/>
          <w:shd w:val="clear" w:fill="FFFFFF"/>
          <w:lang w:val="en-US" w:eastAsia="zh-CN" w:bidi="ar"/>
        </w:rPr>
      </w:pPr>
      <w:r>
        <w:rPr>
          <w:rFonts w:hint="eastAsia" w:ascii="宋体" w:hAnsi="宋体" w:eastAsia="宋体" w:cs="宋体"/>
          <w:i w:val="0"/>
          <w:iCs w:val="0"/>
          <w:caps w:val="0"/>
          <w:color w:val="000000"/>
          <w:spacing w:val="0"/>
          <w:kern w:val="0"/>
          <w:sz w:val="21"/>
          <w:szCs w:val="21"/>
          <w:shd w:val="clear" w:fill="FFFFFF"/>
          <w:lang w:val="en-US" w:eastAsia="zh-CN" w:bidi="ar"/>
        </w:rPr>
        <w:t>5、如果因为中标单位原因不能履行中标合同，造成损失的将追究相应赔偿。中标单位将根据评标结果次序进行顺延中标。</w:t>
      </w:r>
    </w:p>
    <w:p w14:paraId="1E55515D">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Chars="0" w:right="0" w:rightChars="0"/>
        <w:jc w:val="left"/>
        <w:rPr>
          <w:rFonts w:hint="eastAsia" w:ascii="宋体" w:hAnsi="宋体" w:eastAsia="宋体" w:cs="宋体"/>
          <w:i w:val="0"/>
          <w:iCs w:val="0"/>
          <w:caps w:val="0"/>
          <w:color w:val="000000"/>
          <w:spacing w:val="0"/>
          <w:kern w:val="0"/>
          <w:sz w:val="21"/>
          <w:szCs w:val="21"/>
          <w:shd w:val="clear" w:fill="FFFFFF"/>
          <w:lang w:val="en-US" w:eastAsia="zh-CN" w:bidi="ar"/>
        </w:rPr>
      </w:pPr>
      <w:r>
        <w:rPr>
          <w:rFonts w:hint="eastAsia" w:ascii="宋体" w:hAnsi="宋体" w:eastAsia="宋体" w:cs="宋体"/>
          <w:i w:val="0"/>
          <w:iCs w:val="0"/>
          <w:caps w:val="0"/>
          <w:color w:val="000000"/>
          <w:spacing w:val="0"/>
          <w:kern w:val="0"/>
          <w:sz w:val="21"/>
          <w:szCs w:val="21"/>
          <w:shd w:val="clear" w:fill="FFFFFF"/>
          <w:lang w:val="en-US" w:eastAsia="zh-CN" w:bidi="ar"/>
        </w:rPr>
        <w:t>6、</w:t>
      </w:r>
      <w:r>
        <w:rPr>
          <w:rFonts w:hint="eastAsia" w:ascii="宋体" w:hAnsi="宋体" w:eastAsia="宋体" w:cs="宋体"/>
          <w:i w:val="0"/>
          <w:iCs w:val="0"/>
          <w:caps w:val="0"/>
          <w:color w:val="FF0000"/>
          <w:spacing w:val="0"/>
          <w:kern w:val="0"/>
          <w:sz w:val="21"/>
          <w:szCs w:val="21"/>
          <w:shd w:val="clear" w:fill="FFFFFF"/>
          <w:lang w:val="en-US" w:eastAsia="zh-CN" w:bidi="ar"/>
        </w:rPr>
        <w:t>交付过程中会随机对送货进行抽样检测，如发现有产品质量以次充好的情况，将根据产品质量情况予以考核，如同一合同多次出现质量问题，我司有权终止合同并追偿损失，并对相应供方进行性终止合作出发，一年内不得参与我司氢氧化钙采购报价</w:t>
      </w:r>
      <w:r>
        <w:rPr>
          <w:rFonts w:hint="eastAsia" w:ascii="宋体" w:hAnsi="宋体" w:eastAsia="宋体" w:cs="宋体"/>
          <w:i w:val="0"/>
          <w:iCs w:val="0"/>
          <w:caps w:val="0"/>
          <w:color w:val="000000"/>
          <w:spacing w:val="0"/>
          <w:kern w:val="0"/>
          <w:sz w:val="21"/>
          <w:szCs w:val="21"/>
          <w:shd w:val="clear" w:fill="FFFFFF"/>
          <w:lang w:val="en-US" w:eastAsia="zh-CN" w:bidi="ar"/>
        </w:rPr>
        <w:t>。</w:t>
      </w:r>
    </w:p>
    <w:p w14:paraId="4CF27B0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shd w:val="clear" w:fill="FFFFFF"/>
          <w:lang w:val="en-US" w:eastAsia="zh-CN" w:bidi="ar"/>
        </w:rPr>
        <w:t>【提货流程】</w:t>
      </w:r>
    </w:p>
    <w:p w14:paraId="6B7C8B4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i w:val="0"/>
          <w:iCs w:val="0"/>
          <w:caps w:val="0"/>
          <w:color w:val="000000"/>
          <w:spacing w:val="0"/>
          <w:kern w:val="0"/>
          <w:sz w:val="21"/>
          <w:szCs w:val="21"/>
          <w:shd w:val="clear" w:fill="FFFFFF"/>
          <w:lang w:val="en-US" w:eastAsia="zh-CN" w:bidi="ar"/>
        </w:rPr>
      </w:pPr>
      <w:r>
        <w:rPr>
          <w:rFonts w:hint="eastAsia" w:ascii="宋体" w:hAnsi="宋体" w:eastAsia="宋体" w:cs="宋体"/>
          <w:i w:val="0"/>
          <w:iCs w:val="0"/>
          <w:caps w:val="0"/>
          <w:color w:val="000000"/>
          <w:spacing w:val="0"/>
          <w:kern w:val="0"/>
          <w:sz w:val="21"/>
          <w:szCs w:val="21"/>
          <w:shd w:val="clear" w:fill="FFFFFF"/>
          <w:lang w:val="en-US" w:eastAsia="zh-CN" w:bidi="ar"/>
        </w:rPr>
        <w:t>1、产品交货时间：合同签订后执行；</w:t>
      </w:r>
    </w:p>
    <w:p w14:paraId="615F123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i w:val="0"/>
          <w:iCs w:val="0"/>
          <w:caps w:val="0"/>
          <w:color w:val="000000"/>
          <w:spacing w:val="0"/>
          <w:kern w:val="0"/>
          <w:sz w:val="21"/>
          <w:szCs w:val="21"/>
          <w:shd w:val="clear" w:fill="FFFFFF"/>
          <w:lang w:val="en-US" w:eastAsia="zh-CN" w:bidi="ar"/>
        </w:rPr>
      </w:pPr>
      <w:r>
        <w:rPr>
          <w:rFonts w:hint="eastAsia" w:ascii="宋体" w:hAnsi="宋体" w:eastAsia="宋体" w:cs="宋体"/>
          <w:i w:val="0"/>
          <w:iCs w:val="0"/>
          <w:caps w:val="0"/>
          <w:color w:val="000000"/>
          <w:spacing w:val="0"/>
          <w:kern w:val="0"/>
          <w:sz w:val="21"/>
          <w:szCs w:val="21"/>
          <w:shd w:val="clear" w:fill="FFFFFF"/>
          <w:lang w:val="en-US" w:eastAsia="zh-CN" w:bidi="ar"/>
        </w:rPr>
        <w:t>2、产品交货方式：一票制送到，供方负责运输，运输过程中相关安全事宜由供方负责，并承担运输费用。供方根据需方生产需求计划均衡发货，以需方过磅数量结算。</w:t>
      </w:r>
    </w:p>
    <w:p w14:paraId="6A44A1C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shd w:val="clear" w:fill="FFFFFF"/>
          <w:lang w:val="en-US" w:eastAsia="zh-CN" w:bidi="ar"/>
        </w:rPr>
        <w:t>3、产品交货地：衢州巨化锦纶有限责任公司；浙江省衢州市柯城区巨化北二道56号</w:t>
      </w:r>
    </w:p>
    <w:p w14:paraId="278BC76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shd w:val="clear" w:fill="FFFFFF"/>
          <w:lang w:val="en-US" w:eastAsia="zh-CN" w:bidi="ar"/>
        </w:rPr>
        <w:t>4、报价形式为一票制承兑送到价格，其他形式报价视为弃标，如有其它要求请上传报价函备注说明。</w:t>
      </w:r>
    </w:p>
    <w:p w14:paraId="2212D78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shd w:val="clear" w:fill="FFFFFF"/>
          <w:lang w:val="en-US" w:eastAsia="zh-CN" w:bidi="ar"/>
        </w:rPr>
        <w:t>5、货物运输车辆必须遵守国家安全、交通法规，严禁车辆超载运输。在运输过程中如发生安全、环保等事故，均由供方承担。</w:t>
      </w:r>
    </w:p>
    <w:p w14:paraId="10E941F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shd w:val="clear" w:fill="FFFFFF"/>
          <w:lang w:val="en-US" w:eastAsia="zh-CN" w:bidi="ar"/>
        </w:rPr>
        <w:t>【结算方式及期限】</w:t>
      </w:r>
    </w:p>
    <w:p w14:paraId="1267CCE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20" w:firstLineChars="20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shd w:val="clear" w:fill="FFFFFF"/>
          <w:lang w:val="en-US" w:eastAsia="zh-CN" w:bidi="ar"/>
        </w:rPr>
        <w:t>供应商开具13%增值税发票，收到发票后以银行承兑汇票支付货款。具体细节以双方签订合同为准。如因国家税率调整、按不含税单价不变开票结算。</w:t>
      </w:r>
    </w:p>
    <w:p w14:paraId="2CF2313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shd w:val="clear" w:fill="FFFFFF"/>
          <w:lang w:val="en-US" w:eastAsia="zh-CN" w:bidi="ar"/>
        </w:rPr>
        <w:t>【违约责任】</w:t>
      </w:r>
    </w:p>
    <w:p w14:paraId="600F4B6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20" w:firstLineChars="20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shd w:val="clear" w:fill="FFFFFF"/>
          <w:lang w:val="en-US" w:eastAsia="zh-CN" w:bidi="ar"/>
        </w:rPr>
        <w:t>供方对质量检验有异议，对我公司的留样样品送第三方具有国家认定资质的质检部门进行检验，双方协商解决。协商期间，供方根据需方的通知是否继续供应。由于产品本身的质量问题引发安全事故所造成的一切损失，由供应商全额赔偿。包括但不限于律师费，诉讼费、买受方的损失等。</w:t>
      </w:r>
    </w:p>
    <w:p w14:paraId="41887CB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i w:val="0"/>
          <w:iCs w:val="0"/>
          <w:caps w:val="0"/>
          <w:color w:val="000000"/>
          <w:spacing w:val="0"/>
          <w:sz w:val="21"/>
          <w:szCs w:val="21"/>
        </w:rPr>
      </w:pPr>
    </w:p>
    <w:p w14:paraId="1631A1B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5303" w:leftChars="2125" w:right="0" w:hanging="840" w:hangingChars="400"/>
        <w:jc w:val="left"/>
        <w:rPr>
          <w:rFonts w:hint="eastAsia" w:ascii="宋体" w:hAnsi="宋体" w:eastAsia="宋体" w:cs="宋体"/>
          <w:i w:val="0"/>
          <w:iCs w:val="0"/>
          <w:caps w:val="0"/>
          <w:color w:val="000000"/>
          <w:spacing w:val="0"/>
          <w:kern w:val="0"/>
          <w:sz w:val="21"/>
          <w:szCs w:val="21"/>
          <w:shd w:val="clear" w:fill="FFFFFF"/>
          <w:lang w:val="en-US" w:eastAsia="zh-CN" w:bidi="ar"/>
        </w:rPr>
      </w:pPr>
      <w:r>
        <w:rPr>
          <w:rFonts w:hint="eastAsia" w:ascii="宋体" w:hAnsi="宋体" w:eastAsia="宋体" w:cs="宋体"/>
          <w:i w:val="0"/>
          <w:iCs w:val="0"/>
          <w:caps w:val="0"/>
          <w:color w:val="000000"/>
          <w:spacing w:val="0"/>
          <w:kern w:val="0"/>
          <w:sz w:val="21"/>
          <w:szCs w:val="21"/>
          <w:shd w:val="clear" w:fill="FFFFFF"/>
          <w:lang w:val="en-US" w:eastAsia="zh-CN" w:bidi="ar"/>
        </w:rPr>
        <w:t>衢州巨化锦纶有限责任公司</w:t>
      </w:r>
    </w:p>
    <w:p w14:paraId="27AB87A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5303" w:leftChars="2125" w:right="0" w:hanging="840" w:hangingChars="40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shd w:val="clear" w:fill="FFFFFF"/>
          <w:lang w:val="en-US" w:eastAsia="zh-CN" w:bidi="ar"/>
        </w:rPr>
        <w:t>2026年08月27日</w:t>
      </w:r>
    </w:p>
    <w:p w14:paraId="0D0C2DFE">
      <w:pPr>
        <w:spacing w:line="360" w:lineRule="auto"/>
        <w:rPr>
          <w:sz w:val="24"/>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467573"/>
    <w:multiLevelType w:val="singleLevel"/>
    <w:tmpl w:val="9746757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U1YjFjNjlkZTVmNDk4NTc5YmVhOWRmOGU5ZGU0MmQifQ=="/>
  </w:docVars>
  <w:rsids>
    <w:rsidRoot w:val="00000000"/>
    <w:rsid w:val="000475C3"/>
    <w:rsid w:val="01AA4486"/>
    <w:rsid w:val="0300783C"/>
    <w:rsid w:val="0350434C"/>
    <w:rsid w:val="05677DE7"/>
    <w:rsid w:val="059B116C"/>
    <w:rsid w:val="05FC677A"/>
    <w:rsid w:val="067120D2"/>
    <w:rsid w:val="069E1652"/>
    <w:rsid w:val="070B1DD7"/>
    <w:rsid w:val="08C830EF"/>
    <w:rsid w:val="08F828F0"/>
    <w:rsid w:val="090663E0"/>
    <w:rsid w:val="099C619C"/>
    <w:rsid w:val="0A4869AA"/>
    <w:rsid w:val="0AF33DD5"/>
    <w:rsid w:val="0BDE70D1"/>
    <w:rsid w:val="0E1C16BC"/>
    <w:rsid w:val="0F600504"/>
    <w:rsid w:val="0FE04931"/>
    <w:rsid w:val="1012414F"/>
    <w:rsid w:val="11034D52"/>
    <w:rsid w:val="11576061"/>
    <w:rsid w:val="11C8679C"/>
    <w:rsid w:val="11DD7609"/>
    <w:rsid w:val="12581886"/>
    <w:rsid w:val="13B43C16"/>
    <w:rsid w:val="13FE3E27"/>
    <w:rsid w:val="146401FE"/>
    <w:rsid w:val="14F515EC"/>
    <w:rsid w:val="15AB3899"/>
    <w:rsid w:val="16E6580D"/>
    <w:rsid w:val="17B12F60"/>
    <w:rsid w:val="18A670AA"/>
    <w:rsid w:val="19661E28"/>
    <w:rsid w:val="1A907657"/>
    <w:rsid w:val="1BEC2FB3"/>
    <w:rsid w:val="1C5A56F6"/>
    <w:rsid w:val="1C741023"/>
    <w:rsid w:val="1F0A790E"/>
    <w:rsid w:val="22BC6E6F"/>
    <w:rsid w:val="267306C4"/>
    <w:rsid w:val="29FB37DC"/>
    <w:rsid w:val="2AF00D10"/>
    <w:rsid w:val="2B0F69C1"/>
    <w:rsid w:val="2CC80D1A"/>
    <w:rsid w:val="2CCB6075"/>
    <w:rsid w:val="2ED66A2F"/>
    <w:rsid w:val="2F0117A8"/>
    <w:rsid w:val="306C426A"/>
    <w:rsid w:val="31730F91"/>
    <w:rsid w:val="3276479B"/>
    <w:rsid w:val="32A537F8"/>
    <w:rsid w:val="32AB34D3"/>
    <w:rsid w:val="33D4663A"/>
    <w:rsid w:val="349124F1"/>
    <w:rsid w:val="366153BB"/>
    <w:rsid w:val="369E5BD7"/>
    <w:rsid w:val="37DA41AF"/>
    <w:rsid w:val="382C790C"/>
    <w:rsid w:val="387323D9"/>
    <w:rsid w:val="38943EA7"/>
    <w:rsid w:val="389F682D"/>
    <w:rsid w:val="38FD5F59"/>
    <w:rsid w:val="3913458B"/>
    <w:rsid w:val="395008E5"/>
    <w:rsid w:val="395F2775"/>
    <w:rsid w:val="3996244B"/>
    <w:rsid w:val="3A27080A"/>
    <w:rsid w:val="3A9D4869"/>
    <w:rsid w:val="3AD740CB"/>
    <w:rsid w:val="3DA2751D"/>
    <w:rsid w:val="3DE2791A"/>
    <w:rsid w:val="3E7C03DF"/>
    <w:rsid w:val="3EAB4770"/>
    <w:rsid w:val="3EF10F43"/>
    <w:rsid w:val="3F9F33F0"/>
    <w:rsid w:val="420936C7"/>
    <w:rsid w:val="421B164C"/>
    <w:rsid w:val="43000F6E"/>
    <w:rsid w:val="44A93119"/>
    <w:rsid w:val="45D02D5A"/>
    <w:rsid w:val="478B18A1"/>
    <w:rsid w:val="47BB6DEB"/>
    <w:rsid w:val="49A8010F"/>
    <w:rsid w:val="4A1277D9"/>
    <w:rsid w:val="4B4E30AC"/>
    <w:rsid w:val="4BF03B4A"/>
    <w:rsid w:val="4E7D3942"/>
    <w:rsid w:val="4F921340"/>
    <w:rsid w:val="509B31FA"/>
    <w:rsid w:val="51524316"/>
    <w:rsid w:val="51B965D2"/>
    <w:rsid w:val="522D5F4B"/>
    <w:rsid w:val="52630BD1"/>
    <w:rsid w:val="527C13A3"/>
    <w:rsid w:val="531E4F13"/>
    <w:rsid w:val="53FD5F81"/>
    <w:rsid w:val="5433318E"/>
    <w:rsid w:val="553A4DCB"/>
    <w:rsid w:val="55DA1C29"/>
    <w:rsid w:val="5652066A"/>
    <w:rsid w:val="568E061D"/>
    <w:rsid w:val="58A57AD6"/>
    <w:rsid w:val="5A1534DC"/>
    <w:rsid w:val="5A987886"/>
    <w:rsid w:val="5AC45807"/>
    <w:rsid w:val="5BD6038F"/>
    <w:rsid w:val="5CC97772"/>
    <w:rsid w:val="5DB94057"/>
    <w:rsid w:val="5EF22348"/>
    <w:rsid w:val="5FA8661F"/>
    <w:rsid w:val="611F2AAF"/>
    <w:rsid w:val="6134417C"/>
    <w:rsid w:val="61F7517F"/>
    <w:rsid w:val="63A92DB1"/>
    <w:rsid w:val="640E45C0"/>
    <w:rsid w:val="664A240B"/>
    <w:rsid w:val="66BB45C1"/>
    <w:rsid w:val="66E04703"/>
    <w:rsid w:val="687B1A1E"/>
    <w:rsid w:val="687D6036"/>
    <w:rsid w:val="69E87365"/>
    <w:rsid w:val="6A766917"/>
    <w:rsid w:val="6B4A764E"/>
    <w:rsid w:val="6C7A0868"/>
    <w:rsid w:val="6F0F4753"/>
    <w:rsid w:val="6F26496F"/>
    <w:rsid w:val="705854DF"/>
    <w:rsid w:val="70A36114"/>
    <w:rsid w:val="72192C03"/>
    <w:rsid w:val="72B56DCF"/>
    <w:rsid w:val="734340CD"/>
    <w:rsid w:val="737E5695"/>
    <w:rsid w:val="74736C5F"/>
    <w:rsid w:val="74AB4371"/>
    <w:rsid w:val="74E30734"/>
    <w:rsid w:val="75703482"/>
    <w:rsid w:val="7611501A"/>
    <w:rsid w:val="774F0DA8"/>
    <w:rsid w:val="7840771E"/>
    <w:rsid w:val="79236B46"/>
    <w:rsid w:val="7B0D3A08"/>
    <w:rsid w:val="7B717425"/>
    <w:rsid w:val="7B7B6CE0"/>
    <w:rsid w:val="7C9478A1"/>
    <w:rsid w:val="7CF2493E"/>
    <w:rsid w:val="7D276133"/>
    <w:rsid w:val="7E763E55"/>
    <w:rsid w:val="7F5726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1036</Words>
  <Characters>1135</Characters>
  <Lines>0</Lines>
  <Paragraphs>0</Paragraphs>
  <TotalTime>119</TotalTime>
  <ScaleCrop>false</ScaleCrop>
  <LinksUpToDate>false</LinksUpToDate>
  <CharactersWithSpaces>1248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2023-05-16T01:02:00Z</dcterms:created>
  <dc:creator>LJX</dc:creator>
  <cp:lastModifiedBy>廖继兴</cp:lastModifiedBy>
  <dcterms:modified xsi:type="dcterms:W3CDTF">2026-08-26T07:44:05Z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8CDB6BA59D1A4FCFA38143C1BF218976_12</vt:lpwstr>
  </property>
  <property fmtid="{D5CDD505-2E9C-101B-9397-08002B2CF9AE}" pid="4" name="KSOTemplateDocerSaveRecord">
    <vt:lpwstr>eyJoZGlkIjoiODU1YjFjNjlkZTVmNDk4NTc5YmVhOWRmOGU5ZGU0MmQiLCJ1c2VySWQiOiI3MTY4NDMzMzcifQ==</vt:lpwstr>
  </property>
</Properties>
</file>