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03B51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宋体" w:hAnsi="宋体" w:eastAsia="宋体" w:cs="宋体"/>
          <w:i w:val="0"/>
          <w:iCs w:val="0"/>
          <w:caps w:val="0"/>
          <w:color w:val="000000"/>
          <w:spacing w:val="0"/>
          <w:kern w:val="0"/>
          <w:sz w:val="20"/>
          <w:szCs w:val="20"/>
          <w:shd w:val="clear" w:fill="FFFFFF"/>
          <w:lang w:val="en-US" w:eastAsia="zh-CN" w:bidi="ar"/>
        </w:rPr>
      </w:pPr>
      <w:r>
        <w:rPr>
          <w:rFonts w:hint="eastAsia" w:ascii="宋体" w:cs="宋体"/>
          <w:b/>
          <w:bCs/>
          <w:color w:val="000000"/>
          <w:kern w:val="36"/>
          <w:sz w:val="36"/>
          <w:szCs w:val="36"/>
          <w:u w:val="none"/>
          <w:lang w:val="en-US" w:eastAsia="zh-CN"/>
        </w:rPr>
        <w:t>氢氧化钙</w:t>
      </w:r>
      <w:r>
        <w:rPr>
          <w:rFonts w:ascii="宋体" w:eastAsia="宋体" w:cs="宋体"/>
          <w:b/>
          <w:bCs/>
          <w:color w:val="000000"/>
          <w:kern w:val="36"/>
          <w:sz w:val="36"/>
          <w:szCs w:val="36"/>
          <w:u w:val="none"/>
        </w:rPr>
        <w:t>采购</w:t>
      </w:r>
      <w:r>
        <w:rPr>
          <w:rFonts w:hint="eastAsia" w:ascii="宋体" w:eastAsia="宋体" w:cs="宋体"/>
          <w:b/>
          <w:bCs/>
          <w:color w:val="000000"/>
          <w:kern w:val="36"/>
          <w:sz w:val="36"/>
          <w:szCs w:val="28"/>
          <w:lang w:val="en-US" w:eastAsia="zh-CN"/>
        </w:rPr>
        <w:t>竞价邀请函</w:t>
      </w:r>
    </w:p>
    <w:p w14:paraId="0E9C5A8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i w:val="0"/>
          <w:iCs w:val="0"/>
          <w:caps w:val="0"/>
          <w:color w:val="000000"/>
          <w:spacing w:val="0"/>
          <w:kern w:val="0"/>
          <w:sz w:val="18"/>
          <w:szCs w:val="18"/>
          <w:shd w:val="clear" w:fill="FFFFFF"/>
          <w:lang w:val="en-US" w:eastAsia="zh-CN" w:bidi="ar"/>
        </w:rPr>
      </w:pPr>
    </w:p>
    <w:p w14:paraId="5476180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i w:val="0"/>
          <w:iCs w:val="0"/>
          <w:caps w:val="0"/>
          <w:color w:val="000000"/>
          <w:spacing w:val="0"/>
          <w:kern w:val="0"/>
          <w:sz w:val="18"/>
          <w:szCs w:val="18"/>
          <w:shd w:val="clear" w:fill="FFFFFF"/>
          <w:lang w:val="en-US" w:eastAsia="zh-CN" w:bidi="ar"/>
        </w:rPr>
      </w:pPr>
    </w:p>
    <w:p w14:paraId="61B8B2D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尊敬的供应商：</w:t>
      </w:r>
    </w:p>
    <w:p w14:paraId="6055AAB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firstLineChars="20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现有衢州巨化锦纶有限责任公司将于2026年07月29日在公司供应商内竞比价采购氢氧化钙3000吨，竞比价模式为自由竞价，</w:t>
      </w:r>
      <w:r>
        <w:rPr>
          <w:rFonts w:hint="eastAsia" w:ascii="宋体" w:eastAsia="宋体" w:cs="宋体"/>
          <w:color w:val="000000"/>
          <w:kern w:val="0"/>
          <w:sz w:val="21"/>
          <w:szCs w:val="21"/>
        </w:rPr>
        <w:t>编号</w:t>
      </w:r>
      <w:r>
        <w:rPr>
          <w:rFonts w:ascii="宋体" w:eastAsia="宋体" w:cs="宋体"/>
          <w:color w:val="000000"/>
          <w:kern w:val="0"/>
          <w:sz w:val="28"/>
          <w:szCs w:val="28"/>
        </w:rPr>
        <w:t>：</w:t>
      </w:r>
      <w:r>
        <w:rPr>
          <w:rFonts w:hint="eastAsia" w:eastAsia="宋体"/>
          <w:b/>
          <w:bCs w:val="0"/>
          <w:sz w:val="28"/>
          <w:szCs w:val="28"/>
          <w:lang w:val="en-US" w:eastAsia="zh-CN"/>
        </w:rPr>
        <w:t>QYHG</w:t>
      </w:r>
      <w:r>
        <w:rPr>
          <w:b/>
          <w:bCs w:val="0"/>
          <w:sz w:val="28"/>
          <w:szCs w:val="28"/>
        </w:rPr>
        <w:t>202</w:t>
      </w:r>
      <w:r>
        <w:rPr>
          <w:rFonts w:hint="eastAsia"/>
          <w:b/>
          <w:bCs w:val="0"/>
          <w:sz w:val="28"/>
          <w:szCs w:val="28"/>
          <w:lang w:val="en-US" w:eastAsia="zh-CN"/>
        </w:rPr>
        <w:t>60729</w:t>
      </w:r>
      <w:r>
        <w:rPr>
          <w:rFonts w:hint="eastAsia"/>
          <w:b/>
          <w:sz w:val="32"/>
          <w:szCs w:val="32"/>
          <w:lang w:val="en-US" w:eastAsia="zh-CN"/>
        </w:rPr>
        <w:t>，</w:t>
      </w:r>
      <w:r>
        <w:rPr>
          <w:rFonts w:hint="eastAsia" w:ascii="宋体" w:hAnsi="宋体" w:eastAsia="宋体" w:cs="宋体"/>
          <w:i w:val="0"/>
          <w:iCs w:val="0"/>
          <w:caps w:val="0"/>
          <w:color w:val="000000"/>
          <w:spacing w:val="0"/>
          <w:kern w:val="0"/>
          <w:sz w:val="21"/>
          <w:szCs w:val="21"/>
          <w:shd w:val="clear" w:fill="FFFFFF"/>
          <w:lang w:val="en-US" w:eastAsia="zh-CN" w:bidi="ar"/>
        </w:rPr>
        <w:t>报价时间：</w:t>
      </w:r>
      <w:r>
        <w:rPr>
          <w:rFonts w:hint="eastAsia"/>
          <w:sz w:val="24"/>
          <w:szCs w:val="32"/>
        </w:rPr>
        <w:t>202</w:t>
      </w:r>
      <w:r>
        <w:rPr>
          <w:rFonts w:hint="eastAsia"/>
          <w:sz w:val="24"/>
          <w:szCs w:val="32"/>
          <w:lang w:val="en-US" w:eastAsia="zh-CN"/>
        </w:rPr>
        <w:t>6</w:t>
      </w:r>
      <w:r>
        <w:rPr>
          <w:rFonts w:hint="eastAsia"/>
          <w:sz w:val="24"/>
          <w:szCs w:val="32"/>
        </w:rPr>
        <w:t>-0</w:t>
      </w:r>
      <w:r>
        <w:rPr>
          <w:rFonts w:hint="eastAsia"/>
          <w:sz w:val="24"/>
          <w:szCs w:val="32"/>
          <w:lang w:val="en-US" w:eastAsia="zh-CN"/>
        </w:rPr>
        <w:t>7-29</w:t>
      </w:r>
      <w:r>
        <w:rPr>
          <w:rFonts w:hint="eastAsia"/>
          <w:sz w:val="24"/>
          <w:szCs w:val="32"/>
        </w:rPr>
        <w:t xml:space="preserve">  </w:t>
      </w:r>
      <w:r>
        <w:rPr>
          <w:rFonts w:hint="eastAsia"/>
          <w:sz w:val="24"/>
          <w:szCs w:val="32"/>
          <w:lang w:val="en-US" w:eastAsia="zh-CN"/>
        </w:rPr>
        <w:t>10</w:t>
      </w:r>
      <w:r>
        <w:rPr>
          <w:rFonts w:hint="eastAsia"/>
          <w:sz w:val="24"/>
          <w:szCs w:val="32"/>
        </w:rPr>
        <w:t>:</w:t>
      </w:r>
      <w:r>
        <w:rPr>
          <w:rFonts w:hint="eastAsia"/>
          <w:sz w:val="24"/>
          <w:szCs w:val="32"/>
          <w:lang w:val="en-US" w:eastAsia="zh-CN"/>
        </w:rPr>
        <w:t>3</w:t>
      </w:r>
      <w:r>
        <w:rPr>
          <w:rFonts w:hint="eastAsia"/>
          <w:sz w:val="24"/>
          <w:szCs w:val="32"/>
        </w:rPr>
        <w:t>0:00 至 202</w:t>
      </w:r>
      <w:r>
        <w:rPr>
          <w:rFonts w:hint="eastAsia"/>
          <w:sz w:val="24"/>
          <w:szCs w:val="32"/>
          <w:lang w:val="en-US" w:eastAsia="zh-CN"/>
        </w:rPr>
        <w:t>6</w:t>
      </w:r>
      <w:r>
        <w:rPr>
          <w:rFonts w:hint="eastAsia"/>
          <w:sz w:val="24"/>
          <w:szCs w:val="32"/>
        </w:rPr>
        <w:t>-0</w:t>
      </w:r>
      <w:r>
        <w:rPr>
          <w:rFonts w:hint="eastAsia"/>
          <w:sz w:val="24"/>
          <w:szCs w:val="32"/>
          <w:lang w:val="en-US" w:eastAsia="zh-CN"/>
        </w:rPr>
        <w:t>7</w:t>
      </w:r>
      <w:r>
        <w:rPr>
          <w:rFonts w:hint="eastAsia"/>
          <w:sz w:val="24"/>
          <w:szCs w:val="32"/>
        </w:rPr>
        <w:t>-</w:t>
      </w:r>
      <w:r>
        <w:rPr>
          <w:rFonts w:hint="eastAsia"/>
          <w:sz w:val="24"/>
          <w:szCs w:val="32"/>
          <w:lang w:val="en-US" w:eastAsia="zh-CN"/>
        </w:rPr>
        <w:t>29</w:t>
      </w:r>
      <w:r>
        <w:rPr>
          <w:rFonts w:hint="eastAsia"/>
          <w:sz w:val="24"/>
          <w:szCs w:val="32"/>
        </w:rPr>
        <w:t xml:space="preserve"> </w:t>
      </w:r>
      <w:r>
        <w:rPr>
          <w:rFonts w:hint="eastAsia"/>
          <w:sz w:val="24"/>
          <w:szCs w:val="32"/>
          <w:lang w:val="en-US" w:eastAsia="zh-CN"/>
        </w:rPr>
        <w:t>11</w:t>
      </w:r>
      <w:r>
        <w:rPr>
          <w:rFonts w:hint="eastAsia"/>
          <w:sz w:val="24"/>
          <w:szCs w:val="32"/>
        </w:rPr>
        <w:t>:</w:t>
      </w:r>
      <w:r>
        <w:rPr>
          <w:rFonts w:hint="eastAsia"/>
          <w:sz w:val="24"/>
          <w:szCs w:val="32"/>
          <w:lang w:val="en-US" w:eastAsia="zh-CN"/>
        </w:rPr>
        <w:t>0</w:t>
      </w:r>
      <w:r>
        <w:rPr>
          <w:rFonts w:hint="eastAsia"/>
          <w:sz w:val="24"/>
          <w:szCs w:val="32"/>
        </w:rPr>
        <w:t>0:00</w:t>
      </w:r>
      <w:r>
        <w:rPr>
          <w:rFonts w:hint="eastAsia" w:ascii="宋体" w:hAnsi="宋体" w:eastAsia="宋体" w:cs="宋体"/>
          <w:i w:val="0"/>
          <w:iCs w:val="0"/>
          <w:caps w:val="0"/>
          <w:color w:val="000000"/>
          <w:spacing w:val="0"/>
          <w:kern w:val="0"/>
          <w:sz w:val="21"/>
          <w:szCs w:val="21"/>
          <w:shd w:val="clear" w:fill="FFFFFF"/>
          <w:lang w:val="en-US" w:eastAsia="zh-CN" w:bidi="ar"/>
        </w:rPr>
        <w:t>。</w:t>
      </w:r>
    </w:p>
    <w:p w14:paraId="7EB1BAD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firstLineChars="200"/>
        <w:jc w:val="left"/>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kern w:val="0"/>
          <w:sz w:val="21"/>
          <w:szCs w:val="21"/>
          <w:shd w:val="clear" w:fill="FFFFFF"/>
          <w:lang w:val="en-US" w:eastAsia="zh-CN" w:bidi="ar"/>
        </w:rPr>
        <w:t>氢氧化钙供应指标如下：</w:t>
      </w:r>
      <w:r>
        <w:rPr>
          <w:rFonts w:hint="eastAsia" w:ascii="宋体" w:hAnsi="宋体" w:eastAsia="宋体" w:cs="宋体"/>
          <w:i w:val="0"/>
          <w:iCs w:val="0"/>
          <w:caps w:val="0"/>
          <w:color w:val="000000"/>
          <w:spacing w:val="0"/>
          <w:kern w:val="0"/>
          <w:sz w:val="18"/>
          <w:szCs w:val="18"/>
          <w:shd w:val="clear" w:fill="FFFFFF"/>
          <w:lang w:val="en-US" w:eastAsia="zh-CN" w:bidi="ar"/>
        </w:rPr>
        <w:t xml:space="preserve"> HG/T 4120-2024               </w:t>
      </w:r>
    </w:p>
    <w:tbl>
      <w:tblPr>
        <w:tblStyle w:val="2"/>
        <w:tblW w:w="7940" w:type="dxa"/>
        <w:jc w:val="center"/>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4350"/>
        <w:gridCol w:w="3590"/>
      </w:tblGrid>
      <w:tr w14:paraId="1D9BDC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20" w:hRule="atLeast"/>
          <w:tblCellSpacing w:w="0" w:type="dxa"/>
          <w:jc w:val="center"/>
        </w:trPr>
        <w:tc>
          <w:tcPr>
            <w:tcW w:w="7940" w:type="dxa"/>
            <w:gridSpan w:val="2"/>
            <w:shd w:val="clear" w:color="auto" w:fill="FFFFFF"/>
            <w:tcMar>
              <w:top w:w="30" w:type="dxa"/>
              <w:left w:w="60" w:type="dxa"/>
              <w:bottom w:w="30" w:type="dxa"/>
              <w:right w:w="60" w:type="dxa"/>
            </w:tcMar>
            <w:vAlign w:val="center"/>
          </w:tcPr>
          <w:p w14:paraId="595730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val="0"/>
                <w:sz w:val="21"/>
                <w:szCs w:val="21"/>
              </w:rPr>
            </w:pPr>
            <w:r>
              <w:rPr>
                <w:rFonts w:hint="eastAsia" w:ascii="宋体" w:hAnsi="宋体" w:eastAsia="宋体" w:cs="宋体"/>
                <w:b w:val="0"/>
                <w:bCs w:val="0"/>
                <w:i w:val="0"/>
                <w:iCs w:val="0"/>
                <w:caps w:val="0"/>
                <w:color w:val="000000"/>
                <w:spacing w:val="0"/>
                <w:kern w:val="0"/>
                <w:sz w:val="21"/>
                <w:szCs w:val="21"/>
                <w:vertAlign w:val="baseline"/>
                <w:lang w:val="en-US" w:eastAsia="zh-CN" w:bidi="ar"/>
              </w:rPr>
              <w:t>氢氧化钙产品质量指标</w:t>
            </w:r>
          </w:p>
        </w:tc>
      </w:tr>
      <w:tr w14:paraId="226D48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6" w:hRule="atLeast"/>
          <w:tblCellSpacing w:w="0" w:type="dxa"/>
          <w:jc w:val="center"/>
        </w:trPr>
        <w:tc>
          <w:tcPr>
            <w:tcW w:w="4350" w:type="dxa"/>
            <w:shd w:val="clear" w:color="auto" w:fill="FFFFFF"/>
            <w:tcMar>
              <w:top w:w="30" w:type="dxa"/>
              <w:left w:w="60" w:type="dxa"/>
              <w:bottom w:w="30" w:type="dxa"/>
              <w:right w:w="60" w:type="dxa"/>
            </w:tcMar>
            <w:vAlign w:val="center"/>
          </w:tcPr>
          <w:p w14:paraId="421BDC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val="0"/>
                <w:sz w:val="21"/>
                <w:szCs w:val="21"/>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检   验   项   目</w:t>
            </w:r>
          </w:p>
        </w:tc>
        <w:tc>
          <w:tcPr>
            <w:tcW w:w="3590" w:type="dxa"/>
            <w:shd w:val="clear" w:color="auto" w:fill="FFFFFF"/>
            <w:tcMar>
              <w:top w:w="30" w:type="dxa"/>
              <w:left w:w="60" w:type="dxa"/>
              <w:bottom w:w="30" w:type="dxa"/>
              <w:right w:w="60" w:type="dxa"/>
            </w:tcMar>
            <w:vAlign w:val="center"/>
          </w:tcPr>
          <w:p w14:paraId="6BF6303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val="0"/>
                <w:sz w:val="21"/>
                <w:szCs w:val="21"/>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指    标</w:t>
            </w:r>
          </w:p>
        </w:tc>
      </w:tr>
      <w:tr w14:paraId="053D2E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79" w:hRule="atLeast"/>
          <w:tblCellSpacing w:w="0" w:type="dxa"/>
          <w:jc w:val="center"/>
        </w:trPr>
        <w:tc>
          <w:tcPr>
            <w:tcW w:w="4350" w:type="dxa"/>
            <w:shd w:val="clear" w:color="auto" w:fill="FFFFFF"/>
            <w:tcMar>
              <w:top w:w="30" w:type="dxa"/>
              <w:left w:w="60" w:type="dxa"/>
              <w:bottom w:w="30" w:type="dxa"/>
              <w:right w:w="60" w:type="dxa"/>
            </w:tcMar>
            <w:vAlign w:val="center"/>
          </w:tcPr>
          <w:p w14:paraId="5CE339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val="0"/>
                <w:sz w:val="21"/>
                <w:szCs w:val="21"/>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外      观</w:t>
            </w:r>
          </w:p>
        </w:tc>
        <w:tc>
          <w:tcPr>
            <w:tcW w:w="3590" w:type="dxa"/>
            <w:shd w:val="clear" w:color="auto" w:fill="FFFFFF"/>
            <w:tcMar>
              <w:top w:w="30" w:type="dxa"/>
              <w:left w:w="60" w:type="dxa"/>
              <w:bottom w:w="30" w:type="dxa"/>
              <w:right w:w="60" w:type="dxa"/>
            </w:tcMar>
            <w:vAlign w:val="center"/>
          </w:tcPr>
          <w:p w14:paraId="11ED18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b w:val="0"/>
                <w:bCs w:val="0"/>
                <w:sz w:val="21"/>
                <w:szCs w:val="21"/>
                <w:lang w:val="en-US"/>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白色粉末</w:t>
            </w:r>
          </w:p>
        </w:tc>
      </w:tr>
      <w:tr w14:paraId="65E6F1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13" w:hRule="atLeast"/>
          <w:tblCellSpacing w:w="0" w:type="dxa"/>
          <w:jc w:val="center"/>
        </w:trPr>
        <w:tc>
          <w:tcPr>
            <w:tcW w:w="4350" w:type="dxa"/>
            <w:shd w:val="clear" w:color="auto" w:fill="FFFFFF"/>
            <w:tcMar>
              <w:top w:w="30" w:type="dxa"/>
              <w:left w:w="60" w:type="dxa"/>
              <w:bottom w:w="30" w:type="dxa"/>
              <w:right w:w="60" w:type="dxa"/>
            </w:tcMar>
            <w:vAlign w:val="center"/>
          </w:tcPr>
          <w:p w14:paraId="412BBE7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氢氧化钙，%          ≥</w:t>
            </w:r>
          </w:p>
        </w:tc>
        <w:tc>
          <w:tcPr>
            <w:tcW w:w="3590" w:type="dxa"/>
            <w:shd w:val="clear" w:color="auto" w:fill="FFFFFF"/>
            <w:tcMar>
              <w:top w:w="30" w:type="dxa"/>
              <w:left w:w="60" w:type="dxa"/>
              <w:bottom w:w="30" w:type="dxa"/>
              <w:right w:w="60" w:type="dxa"/>
            </w:tcMar>
            <w:vAlign w:val="center"/>
          </w:tcPr>
          <w:p w14:paraId="1E81B8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b w:val="0"/>
                <w:bCs w:val="0"/>
                <w:i w:val="0"/>
                <w:iCs w:val="0"/>
                <w:caps w:val="0"/>
                <w:color w:val="auto"/>
                <w:spacing w:val="0"/>
                <w:kern w:val="0"/>
                <w:sz w:val="21"/>
                <w:szCs w:val="21"/>
                <w:vertAlign w:val="baseline"/>
                <w:lang w:val="en-US" w:eastAsia="zh-CN" w:bidi="ar"/>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95.0</w:t>
            </w:r>
          </w:p>
        </w:tc>
      </w:tr>
      <w:tr w14:paraId="52B6DA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13" w:hRule="atLeast"/>
          <w:tblCellSpacing w:w="0" w:type="dxa"/>
          <w:jc w:val="center"/>
        </w:trPr>
        <w:tc>
          <w:tcPr>
            <w:tcW w:w="4350" w:type="dxa"/>
            <w:shd w:val="clear" w:color="auto" w:fill="FFFFFF"/>
            <w:tcMar>
              <w:top w:w="30" w:type="dxa"/>
              <w:left w:w="60" w:type="dxa"/>
              <w:bottom w:w="30" w:type="dxa"/>
              <w:right w:w="60" w:type="dxa"/>
            </w:tcMar>
            <w:vAlign w:val="center"/>
          </w:tcPr>
          <w:p w14:paraId="1629EFD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宋体" w:hAnsi="宋体" w:eastAsia="宋体" w:cs="宋体"/>
                <w:b w:val="0"/>
                <w:bCs w:val="0"/>
                <w:i w:val="0"/>
                <w:iCs w:val="0"/>
                <w:caps w:val="0"/>
                <w:color w:val="auto"/>
                <w:spacing w:val="0"/>
                <w:kern w:val="0"/>
                <w:sz w:val="21"/>
                <w:szCs w:val="21"/>
                <w:vertAlign w:val="baseline"/>
                <w:lang w:val="en-US" w:eastAsia="zh-CN" w:bidi="ar"/>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游离氧化钙，%              ≤</w:t>
            </w:r>
          </w:p>
        </w:tc>
        <w:tc>
          <w:tcPr>
            <w:tcW w:w="3590" w:type="dxa"/>
            <w:shd w:val="clear" w:color="auto" w:fill="FFFFFF"/>
            <w:tcMar>
              <w:top w:w="30" w:type="dxa"/>
              <w:left w:w="60" w:type="dxa"/>
              <w:bottom w:w="30" w:type="dxa"/>
              <w:right w:w="60" w:type="dxa"/>
            </w:tcMar>
            <w:vAlign w:val="center"/>
          </w:tcPr>
          <w:p w14:paraId="4D9F20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b w:val="0"/>
                <w:bCs w:val="0"/>
                <w:i w:val="0"/>
                <w:iCs w:val="0"/>
                <w:caps w:val="0"/>
                <w:color w:val="auto"/>
                <w:spacing w:val="0"/>
                <w:kern w:val="0"/>
                <w:sz w:val="21"/>
                <w:szCs w:val="21"/>
                <w:vertAlign w:val="baseline"/>
                <w:lang w:val="en-US" w:eastAsia="zh-CN" w:bidi="ar"/>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2.5</w:t>
            </w:r>
          </w:p>
        </w:tc>
      </w:tr>
      <w:tr w14:paraId="0AA681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70" w:hRule="atLeast"/>
          <w:tblCellSpacing w:w="0" w:type="dxa"/>
          <w:jc w:val="center"/>
        </w:trPr>
        <w:tc>
          <w:tcPr>
            <w:tcW w:w="4350" w:type="dxa"/>
            <w:shd w:val="clear" w:color="auto" w:fill="FFFFFF"/>
            <w:tcMar>
              <w:top w:w="30" w:type="dxa"/>
              <w:left w:w="60" w:type="dxa"/>
              <w:bottom w:w="30" w:type="dxa"/>
              <w:right w:w="60" w:type="dxa"/>
            </w:tcMar>
            <w:vAlign w:val="center"/>
          </w:tcPr>
          <w:p w14:paraId="1E2478E2">
            <w:pPr>
              <w:spacing w:line="288" w:lineRule="auto"/>
              <w:jc w:val="both"/>
              <w:rPr>
                <w:rFonts w:hint="eastAsia" w:ascii="宋体" w:hAnsi="宋体" w:eastAsia="宋体" w:cs="宋体"/>
                <w:b w:val="0"/>
                <w:bCs w:val="0"/>
                <w:sz w:val="21"/>
                <w:szCs w:val="21"/>
              </w:rPr>
            </w:pPr>
            <w:r>
              <w:rPr>
                <w:rFonts w:hint="eastAsia" w:ascii="宋体" w:cs="宋体"/>
                <w:b w:val="0"/>
                <w:bCs w:val="0"/>
                <w:color w:val="000000"/>
                <w:sz w:val="21"/>
                <w:szCs w:val="21"/>
                <w:lang w:val="en-US" w:eastAsia="zh-CN"/>
              </w:rPr>
              <w:t>氧化镁</w:t>
            </w:r>
            <w:r>
              <w:rPr>
                <w:rFonts w:hint="eastAsia" w:ascii="宋体" w:cs="宋体"/>
                <w:b w:val="0"/>
                <w:bCs w:val="0"/>
                <w:color w:val="000000"/>
                <w:sz w:val="21"/>
                <w:szCs w:val="21"/>
                <w:lang w:eastAsia="zh-CN"/>
              </w:rPr>
              <w:t>，</w:t>
            </w:r>
            <w:r>
              <w:rPr>
                <w:rFonts w:hint="eastAsia" w:ascii="宋体" w:cs="宋体"/>
                <w:b w:val="0"/>
                <w:bCs w:val="0"/>
                <w:color w:val="000000"/>
                <w:sz w:val="21"/>
                <w:szCs w:val="21"/>
              </w:rPr>
              <w:t>%</w:t>
            </w:r>
            <w:r>
              <w:rPr>
                <w:rFonts w:hint="eastAsia" w:ascii="宋体" w:cs="宋体"/>
                <w:b w:val="0"/>
                <w:bCs w:val="0"/>
                <w:color w:val="000000"/>
                <w:sz w:val="21"/>
                <w:szCs w:val="21"/>
                <w:lang w:val="en-US" w:eastAsia="zh-CN"/>
              </w:rPr>
              <w:t xml:space="preserve">              </w:t>
            </w:r>
            <w:r>
              <w:rPr>
                <w:rFonts w:hint="eastAsia" w:ascii="宋体" w:hAnsi="宋体" w:eastAsia="宋体" w:cs="宋体"/>
                <w:b w:val="0"/>
                <w:bCs w:val="0"/>
                <w:i w:val="0"/>
                <w:iCs w:val="0"/>
                <w:caps w:val="0"/>
                <w:color w:val="auto"/>
                <w:spacing w:val="0"/>
                <w:kern w:val="0"/>
                <w:sz w:val="21"/>
                <w:szCs w:val="21"/>
                <w:vertAlign w:val="baseline"/>
                <w:lang w:val="en-US" w:eastAsia="zh-CN" w:bidi="ar"/>
              </w:rPr>
              <w:t>≤</w:t>
            </w:r>
          </w:p>
        </w:tc>
        <w:tc>
          <w:tcPr>
            <w:tcW w:w="3590" w:type="dxa"/>
            <w:shd w:val="clear" w:color="auto" w:fill="FFFFFF"/>
            <w:tcMar>
              <w:top w:w="30" w:type="dxa"/>
              <w:left w:w="60" w:type="dxa"/>
              <w:bottom w:w="30" w:type="dxa"/>
              <w:right w:w="60" w:type="dxa"/>
            </w:tcMar>
            <w:vAlign w:val="center"/>
          </w:tcPr>
          <w:p w14:paraId="4AC7F0C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b w:val="0"/>
                <w:bCs w:val="0"/>
                <w:i w:val="0"/>
                <w:iCs w:val="0"/>
                <w:caps w:val="0"/>
                <w:color w:val="auto"/>
                <w:spacing w:val="0"/>
                <w:kern w:val="0"/>
                <w:sz w:val="21"/>
                <w:szCs w:val="21"/>
                <w:vertAlign w:val="baseline"/>
                <w:lang w:val="en-US" w:eastAsia="zh-CN" w:bidi="ar"/>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1.5</w:t>
            </w:r>
          </w:p>
        </w:tc>
      </w:tr>
      <w:tr w14:paraId="15B5C5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49" w:hRule="atLeast"/>
          <w:tblCellSpacing w:w="0" w:type="dxa"/>
          <w:jc w:val="center"/>
        </w:trPr>
        <w:tc>
          <w:tcPr>
            <w:tcW w:w="4350" w:type="dxa"/>
            <w:shd w:val="clear" w:color="auto" w:fill="FFFFFF"/>
            <w:tcMar>
              <w:top w:w="30" w:type="dxa"/>
              <w:left w:w="60" w:type="dxa"/>
              <w:bottom w:w="30" w:type="dxa"/>
              <w:right w:w="60" w:type="dxa"/>
            </w:tcMar>
            <w:vAlign w:val="center"/>
          </w:tcPr>
          <w:p w14:paraId="272E217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val="0"/>
                <w:bCs w:val="0"/>
                <w:sz w:val="21"/>
                <w:szCs w:val="21"/>
              </w:rPr>
            </w:pPr>
            <w:r>
              <w:rPr>
                <w:rFonts w:hint="eastAsia" w:ascii="宋体" w:cs="宋体"/>
                <w:b w:val="0"/>
                <w:bCs w:val="0"/>
                <w:color w:val="000000"/>
                <w:sz w:val="21"/>
                <w:szCs w:val="21"/>
              </w:rPr>
              <w:t>酸不溶物</w:t>
            </w:r>
            <w:r>
              <w:rPr>
                <w:rFonts w:hint="eastAsia" w:ascii="宋体" w:hAnsi="宋体" w:eastAsia="宋体" w:cs="宋体"/>
                <w:b w:val="0"/>
                <w:bCs w:val="0"/>
                <w:i w:val="0"/>
                <w:iCs w:val="0"/>
                <w:caps w:val="0"/>
                <w:color w:val="auto"/>
                <w:spacing w:val="0"/>
                <w:kern w:val="0"/>
                <w:sz w:val="21"/>
                <w:szCs w:val="21"/>
                <w:vertAlign w:val="baseline"/>
                <w:lang w:val="en-US" w:eastAsia="zh-CN" w:bidi="ar"/>
              </w:rPr>
              <w:t>，%           ≤</w:t>
            </w:r>
          </w:p>
        </w:tc>
        <w:tc>
          <w:tcPr>
            <w:tcW w:w="3590" w:type="dxa"/>
            <w:shd w:val="clear" w:color="auto" w:fill="FFFFFF"/>
            <w:tcMar>
              <w:top w:w="30" w:type="dxa"/>
              <w:left w:w="60" w:type="dxa"/>
              <w:bottom w:w="30" w:type="dxa"/>
              <w:right w:w="60" w:type="dxa"/>
            </w:tcMar>
            <w:vAlign w:val="center"/>
          </w:tcPr>
          <w:p w14:paraId="6658A3D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b w:val="0"/>
                <w:bCs w:val="0"/>
                <w:i w:val="0"/>
                <w:iCs w:val="0"/>
                <w:caps w:val="0"/>
                <w:color w:val="auto"/>
                <w:spacing w:val="0"/>
                <w:kern w:val="0"/>
                <w:sz w:val="21"/>
                <w:szCs w:val="21"/>
                <w:vertAlign w:val="baseline"/>
                <w:lang w:val="en-US" w:eastAsia="zh-CN" w:bidi="ar"/>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0.25</w:t>
            </w:r>
          </w:p>
        </w:tc>
      </w:tr>
      <w:tr w14:paraId="25E6BD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24" w:hRule="atLeast"/>
          <w:tblCellSpacing w:w="0" w:type="dxa"/>
          <w:jc w:val="center"/>
        </w:trPr>
        <w:tc>
          <w:tcPr>
            <w:tcW w:w="4350" w:type="dxa"/>
            <w:shd w:val="clear" w:color="auto" w:fill="FFFFFF"/>
            <w:tcMar>
              <w:top w:w="30" w:type="dxa"/>
              <w:left w:w="60" w:type="dxa"/>
              <w:bottom w:w="30" w:type="dxa"/>
              <w:right w:w="60" w:type="dxa"/>
            </w:tcMar>
            <w:vAlign w:val="center"/>
          </w:tcPr>
          <w:p w14:paraId="01AB17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val="0"/>
                <w:bCs w:val="0"/>
                <w:sz w:val="21"/>
                <w:szCs w:val="21"/>
              </w:rPr>
            </w:pPr>
            <w:r>
              <w:rPr>
                <w:rFonts w:hint="eastAsia" w:ascii="宋体" w:cs="宋体"/>
                <w:b w:val="0"/>
                <w:bCs w:val="0"/>
                <w:color w:val="000000"/>
                <w:sz w:val="21"/>
                <w:szCs w:val="21"/>
              </w:rPr>
              <w:t>铁</w:t>
            </w:r>
            <w:r>
              <w:rPr>
                <w:rFonts w:hint="eastAsia" w:ascii="宋体" w:hAnsi="宋体" w:eastAsia="宋体" w:cs="宋体"/>
                <w:b w:val="0"/>
                <w:bCs w:val="0"/>
                <w:i w:val="0"/>
                <w:iCs w:val="0"/>
                <w:caps w:val="0"/>
                <w:color w:val="auto"/>
                <w:spacing w:val="0"/>
                <w:kern w:val="0"/>
                <w:sz w:val="21"/>
                <w:szCs w:val="21"/>
                <w:vertAlign w:val="baseline"/>
                <w:lang w:val="en-US" w:eastAsia="zh-CN" w:bidi="ar"/>
              </w:rPr>
              <w:t>，%              ≤</w:t>
            </w:r>
          </w:p>
        </w:tc>
        <w:tc>
          <w:tcPr>
            <w:tcW w:w="3590" w:type="dxa"/>
            <w:shd w:val="clear" w:color="auto" w:fill="FFFFFF"/>
            <w:tcMar>
              <w:top w:w="30" w:type="dxa"/>
              <w:left w:w="60" w:type="dxa"/>
              <w:bottom w:w="30" w:type="dxa"/>
              <w:right w:w="60" w:type="dxa"/>
            </w:tcMar>
            <w:vAlign w:val="center"/>
          </w:tcPr>
          <w:p w14:paraId="565216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b w:val="0"/>
                <w:bCs w:val="0"/>
                <w:i w:val="0"/>
                <w:iCs w:val="0"/>
                <w:caps w:val="0"/>
                <w:color w:val="auto"/>
                <w:spacing w:val="0"/>
                <w:kern w:val="0"/>
                <w:sz w:val="21"/>
                <w:szCs w:val="21"/>
                <w:vertAlign w:val="baseline"/>
                <w:lang w:val="en-US" w:eastAsia="zh-CN" w:bidi="ar"/>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0.1</w:t>
            </w:r>
          </w:p>
        </w:tc>
      </w:tr>
      <w:tr w14:paraId="5D6899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08" w:hRule="atLeast"/>
          <w:tblCellSpacing w:w="0" w:type="dxa"/>
          <w:jc w:val="center"/>
        </w:trPr>
        <w:tc>
          <w:tcPr>
            <w:tcW w:w="4350" w:type="dxa"/>
            <w:shd w:val="clear" w:color="auto" w:fill="FFFFFF"/>
            <w:tcMar>
              <w:top w:w="30" w:type="dxa"/>
              <w:left w:w="60" w:type="dxa"/>
              <w:bottom w:w="30" w:type="dxa"/>
              <w:right w:w="60" w:type="dxa"/>
            </w:tcMar>
            <w:vAlign w:val="center"/>
          </w:tcPr>
          <w:p w14:paraId="324E00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val="0"/>
                <w:bCs w:val="0"/>
                <w:sz w:val="21"/>
                <w:szCs w:val="21"/>
              </w:rPr>
            </w:pPr>
            <w:r>
              <w:rPr>
                <w:rFonts w:hint="eastAsia" w:ascii="宋体" w:cs="宋体"/>
                <w:b w:val="0"/>
                <w:bCs w:val="0"/>
                <w:color w:val="000000"/>
                <w:sz w:val="21"/>
                <w:szCs w:val="21"/>
              </w:rPr>
              <w:t>干燥减量</w:t>
            </w:r>
            <w:r>
              <w:rPr>
                <w:rFonts w:hint="eastAsia" w:ascii="宋体" w:hAnsi="宋体" w:eastAsia="宋体" w:cs="宋体"/>
                <w:b w:val="0"/>
                <w:bCs w:val="0"/>
                <w:i w:val="0"/>
                <w:iCs w:val="0"/>
                <w:caps w:val="0"/>
                <w:color w:val="000000"/>
                <w:spacing w:val="0"/>
                <w:kern w:val="0"/>
                <w:sz w:val="21"/>
                <w:szCs w:val="21"/>
                <w:vertAlign w:val="baseline"/>
                <w:lang w:val="en-US" w:eastAsia="zh-CN" w:bidi="ar"/>
              </w:rPr>
              <w:t>，%        ≤</w:t>
            </w:r>
          </w:p>
        </w:tc>
        <w:tc>
          <w:tcPr>
            <w:tcW w:w="3590" w:type="dxa"/>
            <w:shd w:val="clear" w:color="auto" w:fill="FFFFFF"/>
            <w:tcMar>
              <w:top w:w="30" w:type="dxa"/>
              <w:left w:w="60" w:type="dxa"/>
              <w:bottom w:w="30" w:type="dxa"/>
              <w:right w:w="60" w:type="dxa"/>
            </w:tcMar>
            <w:vAlign w:val="center"/>
          </w:tcPr>
          <w:p w14:paraId="20820DC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b w:val="0"/>
                <w:bCs w:val="0"/>
                <w:i w:val="0"/>
                <w:iCs w:val="0"/>
                <w:caps w:val="0"/>
                <w:color w:val="auto"/>
                <w:spacing w:val="0"/>
                <w:kern w:val="0"/>
                <w:sz w:val="21"/>
                <w:szCs w:val="21"/>
                <w:vertAlign w:val="baseline"/>
                <w:lang w:val="en-US" w:eastAsia="zh-CN" w:bidi="ar"/>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1.0</w:t>
            </w:r>
          </w:p>
        </w:tc>
      </w:tr>
      <w:tr w14:paraId="4C1E8A4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53" w:hRule="atLeast"/>
          <w:tblCellSpacing w:w="0" w:type="dxa"/>
          <w:jc w:val="center"/>
        </w:trPr>
        <w:tc>
          <w:tcPr>
            <w:tcW w:w="4350" w:type="dxa"/>
            <w:shd w:val="clear" w:color="auto" w:fill="FFFFFF"/>
            <w:tcMar>
              <w:top w:w="30" w:type="dxa"/>
              <w:left w:w="60" w:type="dxa"/>
              <w:bottom w:w="30" w:type="dxa"/>
              <w:right w:w="60" w:type="dxa"/>
            </w:tcMar>
            <w:vAlign w:val="center"/>
          </w:tcPr>
          <w:p w14:paraId="4CDA0C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val="0"/>
                <w:bCs w:val="0"/>
                <w:sz w:val="21"/>
                <w:szCs w:val="21"/>
              </w:rPr>
            </w:pPr>
            <w:r>
              <w:rPr>
                <w:rFonts w:hint="eastAsia" w:ascii="宋体" w:cs="宋体"/>
                <w:b w:val="0"/>
                <w:bCs w:val="0"/>
                <w:color w:val="000000"/>
                <w:sz w:val="21"/>
                <w:szCs w:val="21"/>
              </w:rPr>
              <w:t>筛余物（0.045mm试验筛）</w:t>
            </w:r>
            <w:r>
              <w:rPr>
                <w:rFonts w:hint="eastAsia" w:ascii="宋体" w:hAnsi="宋体" w:eastAsia="宋体" w:cs="宋体"/>
                <w:b w:val="0"/>
                <w:bCs w:val="0"/>
                <w:i w:val="0"/>
                <w:iCs w:val="0"/>
                <w:caps w:val="0"/>
                <w:color w:val="auto"/>
                <w:spacing w:val="0"/>
                <w:kern w:val="0"/>
                <w:sz w:val="21"/>
                <w:szCs w:val="21"/>
                <w:vertAlign w:val="baseline"/>
                <w:lang w:val="en-US" w:eastAsia="zh-CN" w:bidi="ar"/>
              </w:rPr>
              <w:t>,％ ≤</w:t>
            </w:r>
          </w:p>
        </w:tc>
        <w:tc>
          <w:tcPr>
            <w:tcW w:w="3590" w:type="dxa"/>
            <w:shd w:val="clear" w:color="auto" w:fill="FFFFFF"/>
            <w:tcMar>
              <w:top w:w="30" w:type="dxa"/>
              <w:left w:w="60" w:type="dxa"/>
              <w:bottom w:w="30" w:type="dxa"/>
              <w:right w:w="60" w:type="dxa"/>
            </w:tcMar>
            <w:vAlign w:val="center"/>
          </w:tcPr>
          <w:p w14:paraId="7AC36C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val="0"/>
                <w:sz w:val="21"/>
                <w:szCs w:val="21"/>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5</w:t>
            </w:r>
          </w:p>
        </w:tc>
      </w:tr>
    </w:tbl>
    <w:p w14:paraId="0873ABE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【交易流程】</w:t>
      </w:r>
    </w:p>
    <w:p w14:paraId="1ACD5398">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报价单位为我公司的合格供应商。</w:t>
      </w:r>
    </w:p>
    <w:p w14:paraId="4573AE0F">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kern w:val="0"/>
          <w:sz w:val="18"/>
          <w:szCs w:val="18"/>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参加竞价的会员在巨化数字商城报价，</w:t>
      </w:r>
      <w:r>
        <w:rPr>
          <w:rFonts w:hint="eastAsia" w:ascii="宋体" w:hAnsi="宋体" w:eastAsia="宋体" w:cs="宋体"/>
          <w:i w:val="0"/>
          <w:iCs w:val="0"/>
          <w:caps w:val="0"/>
          <w:color w:val="000000"/>
          <w:spacing w:val="0"/>
          <w:sz w:val="21"/>
          <w:szCs w:val="21"/>
          <w:shd w:val="clear" w:fill="FFFFFF"/>
        </w:rPr>
        <w:t>开始竞价报价，用户可以多次报价直至竞价结束，以最后一次报价为准，报价为一票制到货价。</w:t>
      </w:r>
      <w:r>
        <w:rPr>
          <w:rFonts w:hint="eastAsia" w:ascii="宋体" w:hAnsi="宋体" w:eastAsia="宋体" w:cs="宋体"/>
          <w:i w:val="0"/>
          <w:iCs w:val="0"/>
          <w:caps w:val="0"/>
          <w:color w:val="000000"/>
          <w:spacing w:val="0"/>
          <w:sz w:val="21"/>
          <w:szCs w:val="21"/>
          <w:shd w:val="clear" w:fill="FFFFFF"/>
          <w:lang w:val="en-US" w:eastAsia="zh-CN"/>
        </w:rPr>
        <w:t>送货时间</w:t>
      </w:r>
      <w:r>
        <w:rPr>
          <w:rFonts w:hint="eastAsia" w:ascii="宋体" w:hAnsi="宋体" w:eastAsia="宋体" w:cs="宋体"/>
          <w:i w:val="0"/>
          <w:iCs w:val="0"/>
          <w:caps w:val="0"/>
          <w:color w:val="000000"/>
          <w:spacing w:val="0"/>
          <w:kern w:val="0"/>
          <w:sz w:val="21"/>
          <w:szCs w:val="21"/>
          <w:shd w:val="clear" w:fill="FFFFFF"/>
          <w:lang w:val="en-US" w:eastAsia="zh-CN" w:bidi="ar"/>
        </w:rPr>
        <w:t>2026年07月30日至2026年8月30日。（供货时间和供货量详情见合同）</w:t>
      </w:r>
    </w:p>
    <w:p w14:paraId="7195B68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Chars="0" w:right="0" w:rightChars="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3、衢州巨化锦纶有限责任公司将对每车货物进行检测。如发现质量问题，将立即终止合同，供应方承担违约责任。</w:t>
      </w:r>
    </w:p>
    <w:p w14:paraId="570C3BE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Chars="0" w:right="0" w:rightChars="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4、竞价结束后，由我司监察室监督下组织对本次竞价采购进行评标，确定中标单位并予以公示。公示结束后，成交双方签署合同,按照合同要求履行。</w:t>
      </w:r>
    </w:p>
    <w:p w14:paraId="1FE28C12">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Chars="0" w:right="0" w:rightChars="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5、如果因为中标单位原因不能履行中标合同，造成损失的将追究相应赔偿。中标单位将根据评标结果次序进行顺延中标。</w:t>
      </w:r>
    </w:p>
    <w:p w14:paraId="1E55515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Chars="0" w:right="0" w:rightChars="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6、</w:t>
      </w:r>
      <w:r>
        <w:rPr>
          <w:rFonts w:hint="eastAsia" w:ascii="宋体" w:hAnsi="宋体" w:eastAsia="宋体" w:cs="宋体"/>
          <w:i w:val="0"/>
          <w:iCs w:val="0"/>
          <w:caps w:val="0"/>
          <w:color w:val="FF0000"/>
          <w:spacing w:val="0"/>
          <w:kern w:val="0"/>
          <w:sz w:val="21"/>
          <w:szCs w:val="21"/>
          <w:shd w:val="clear" w:fill="FFFFFF"/>
          <w:lang w:val="en-US" w:eastAsia="zh-CN" w:bidi="ar"/>
        </w:rPr>
        <w:t>交付过程中会随机对送货进行抽样检测，如发现有产品质量以次充好的情况，将根据产品质量情况予以考核，如同一合同多次出现质量问题，我司有权终止合同并追偿损失，并对相应供方进行性终止合作出发，一年内不得参与我司氢氧化钙采购报价</w:t>
      </w:r>
      <w:r>
        <w:rPr>
          <w:rFonts w:hint="eastAsia" w:ascii="宋体" w:hAnsi="宋体" w:eastAsia="宋体" w:cs="宋体"/>
          <w:i w:val="0"/>
          <w:iCs w:val="0"/>
          <w:caps w:val="0"/>
          <w:color w:val="000000"/>
          <w:spacing w:val="0"/>
          <w:kern w:val="0"/>
          <w:sz w:val="21"/>
          <w:szCs w:val="21"/>
          <w:shd w:val="clear" w:fill="FFFFFF"/>
          <w:lang w:val="en-US" w:eastAsia="zh-CN" w:bidi="ar"/>
        </w:rPr>
        <w:t>。</w:t>
      </w:r>
    </w:p>
    <w:p w14:paraId="4CF27B0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【提货流程】</w:t>
      </w:r>
    </w:p>
    <w:p w14:paraId="6B7C8B4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1、产品交货时间：合同签订后执行；</w:t>
      </w:r>
    </w:p>
    <w:p w14:paraId="615F123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2、产品交货方式：一票制送到，供方负责运输，运输过程中相关安全事宜由供方负责，并承担运输费用。供方根据需方生产需求计划均衡发货，以需方过磅数量结算。</w:t>
      </w:r>
    </w:p>
    <w:p w14:paraId="6A44A1C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3、产品交货地：衢州巨化锦纶有限责任公司；浙江省衢州市柯城区巨化北二道56号</w:t>
      </w:r>
    </w:p>
    <w:p w14:paraId="278BC76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4、报价形式为一票制承兑送到价格，其他形式报价视为弃标，如有其它要求请上传报价函备注说明。</w:t>
      </w:r>
    </w:p>
    <w:p w14:paraId="2212D78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5、货物运输车辆必须遵守国家安全、交通法规，严禁车辆超载运输。在运输过程中如发生安全、环保等事故，均由供方承担。</w:t>
      </w:r>
    </w:p>
    <w:p w14:paraId="10E941F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【结算方式及期限】</w:t>
      </w:r>
    </w:p>
    <w:p w14:paraId="1267CCE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firstLineChars="20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供应商开具13%增值税发票，收到发票后以银行承兑汇票支付货款。具体细节以双方签订合同为准。如因国家税率调整、按不含税单价不变开票结算。</w:t>
      </w:r>
    </w:p>
    <w:p w14:paraId="2CF2313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【违约责任】</w:t>
      </w:r>
    </w:p>
    <w:p w14:paraId="600F4B6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firstLineChars="20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供方对质量检验有异议，对我公司的留样样品送第三方具有国家认定资质的质检部门进行检验，双方协商解决。协商期间，供方根据需方的通知是否继续供应。由于产品本身的质量问题引发安全事故所造成的一切损失，由供应商全额赔偿。包括但不限于律师费，诉讼费、买受方的损失等。</w:t>
      </w:r>
    </w:p>
    <w:p w14:paraId="41887CB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sz w:val="21"/>
          <w:szCs w:val="21"/>
        </w:rPr>
      </w:pPr>
    </w:p>
    <w:p w14:paraId="1631A1B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5303" w:leftChars="2125" w:right="0" w:hanging="840" w:hangingChars="40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衢州巨化锦纶有限责任公司</w:t>
      </w:r>
    </w:p>
    <w:p w14:paraId="27AB87A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5303" w:leftChars="2125" w:right="0" w:hanging="840" w:hangingChars="40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2026年07月29</w:t>
      </w:r>
      <w:bookmarkStart w:id="0" w:name="_GoBack"/>
      <w:bookmarkEnd w:id="0"/>
      <w:r>
        <w:rPr>
          <w:rFonts w:hint="eastAsia" w:ascii="宋体" w:hAnsi="宋体" w:eastAsia="宋体" w:cs="宋体"/>
          <w:i w:val="0"/>
          <w:iCs w:val="0"/>
          <w:caps w:val="0"/>
          <w:color w:val="000000"/>
          <w:spacing w:val="0"/>
          <w:kern w:val="0"/>
          <w:sz w:val="21"/>
          <w:szCs w:val="21"/>
          <w:shd w:val="clear" w:fill="FFFFFF"/>
          <w:lang w:val="en-US" w:eastAsia="zh-CN" w:bidi="ar"/>
        </w:rPr>
        <w:t>日</w:t>
      </w:r>
    </w:p>
    <w:p w14:paraId="0D0C2DFE">
      <w:pPr>
        <w:spacing w:line="360" w:lineRule="auto"/>
        <w:rPr>
          <w:sz w:val="24"/>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467573"/>
    <w:multiLevelType w:val="singleLevel"/>
    <w:tmpl w:val="9746757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1YjFjNjlkZTVmNDk4NTc5YmVhOWRmOGU5ZGU0MmQifQ=="/>
  </w:docVars>
  <w:rsids>
    <w:rsidRoot w:val="00000000"/>
    <w:rsid w:val="000475C3"/>
    <w:rsid w:val="01AA4486"/>
    <w:rsid w:val="0300783C"/>
    <w:rsid w:val="0350434C"/>
    <w:rsid w:val="05677DE7"/>
    <w:rsid w:val="059B116C"/>
    <w:rsid w:val="05FC677A"/>
    <w:rsid w:val="067120D2"/>
    <w:rsid w:val="069E1652"/>
    <w:rsid w:val="070B1DD7"/>
    <w:rsid w:val="08C830EF"/>
    <w:rsid w:val="08F828F0"/>
    <w:rsid w:val="090663E0"/>
    <w:rsid w:val="0A4869AA"/>
    <w:rsid w:val="0AF33DD5"/>
    <w:rsid w:val="0BDE70D1"/>
    <w:rsid w:val="0E1C16BC"/>
    <w:rsid w:val="0FE04931"/>
    <w:rsid w:val="1012414F"/>
    <w:rsid w:val="11034D52"/>
    <w:rsid w:val="11576061"/>
    <w:rsid w:val="11C8679C"/>
    <w:rsid w:val="11DD7609"/>
    <w:rsid w:val="12581886"/>
    <w:rsid w:val="13B43C16"/>
    <w:rsid w:val="13FE3E27"/>
    <w:rsid w:val="146401FE"/>
    <w:rsid w:val="14F515EC"/>
    <w:rsid w:val="15AB3899"/>
    <w:rsid w:val="16E6580D"/>
    <w:rsid w:val="17B12F60"/>
    <w:rsid w:val="18A670AA"/>
    <w:rsid w:val="19661E28"/>
    <w:rsid w:val="1A907657"/>
    <w:rsid w:val="1BEC2FB3"/>
    <w:rsid w:val="1C5A56F6"/>
    <w:rsid w:val="1C741023"/>
    <w:rsid w:val="1F0A790E"/>
    <w:rsid w:val="22BC6E6F"/>
    <w:rsid w:val="267306C4"/>
    <w:rsid w:val="29FB37DC"/>
    <w:rsid w:val="2AF00D10"/>
    <w:rsid w:val="2B0F69C1"/>
    <w:rsid w:val="2CC80D1A"/>
    <w:rsid w:val="2CCB6075"/>
    <w:rsid w:val="2ED66A2F"/>
    <w:rsid w:val="2F0117A8"/>
    <w:rsid w:val="306C426A"/>
    <w:rsid w:val="31730F91"/>
    <w:rsid w:val="3276479B"/>
    <w:rsid w:val="32A537F8"/>
    <w:rsid w:val="32AB34D3"/>
    <w:rsid w:val="33D4663A"/>
    <w:rsid w:val="349124F1"/>
    <w:rsid w:val="366153BB"/>
    <w:rsid w:val="369E5BD7"/>
    <w:rsid w:val="37DA41AF"/>
    <w:rsid w:val="382C790C"/>
    <w:rsid w:val="387323D9"/>
    <w:rsid w:val="38943EA7"/>
    <w:rsid w:val="389F682D"/>
    <w:rsid w:val="38FD5F59"/>
    <w:rsid w:val="3913458B"/>
    <w:rsid w:val="395008E5"/>
    <w:rsid w:val="395F2775"/>
    <w:rsid w:val="3996244B"/>
    <w:rsid w:val="3A27080A"/>
    <w:rsid w:val="3A9D4869"/>
    <w:rsid w:val="3AD740CB"/>
    <w:rsid w:val="3DE2791A"/>
    <w:rsid w:val="3E7C03DF"/>
    <w:rsid w:val="3EAB4770"/>
    <w:rsid w:val="3EF10F43"/>
    <w:rsid w:val="3F9F33F0"/>
    <w:rsid w:val="420936C7"/>
    <w:rsid w:val="421B164C"/>
    <w:rsid w:val="43000F6E"/>
    <w:rsid w:val="44A93119"/>
    <w:rsid w:val="45D02D5A"/>
    <w:rsid w:val="478B18A1"/>
    <w:rsid w:val="47BB6DEB"/>
    <w:rsid w:val="49A8010F"/>
    <w:rsid w:val="4A1277D9"/>
    <w:rsid w:val="4B4E30AC"/>
    <w:rsid w:val="4BF03B4A"/>
    <w:rsid w:val="4E7D3942"/>
    <w:rsid w:val="4F921340"/>
    <w:rsid w:val="509B31FA"/>
    <w:rsid w:val="51524316"/>
    <w:rsid w:val="51B965D2"/>
    <w:rsid w:val="522D5F4B"/>
    <w:rsid w:val="52630BD1"/>
    <w:rsid w:val="527C13A3"/>
    <w:rsid w:val="531E4F13"/>
    <w:rsid w:val="53FD5F81"/>
    <w:rsid w:val="5433318E"/>
    <w:rsid w:val="553A4DCB"/>
    <w:rsid w:val="55DA1C29"/>
    <w:rsid w:val="5652066A"/>
    <w:rsid w:val="568E061D"/>
    <w:rsid w:val="58A57AD6"/>
    <w:rsid w:val="5A1534DC"/>
    <w:rsid w:val="5A987886"/>
    <w:rsid w:val="5AC45807"/>
    <w:rsid w:val="5BD6038F"/>
    <w:rsid w:val="5CC97772"/>
    <w:rsid w:val="5DB94057"/>
    <w:rsid w:val="5EF22348"/>
    <w:rsid w:val="5FA8661F"/>
    <w:rsid w:val="611F2AAF"/>
    <w:rsid w:val="6134417C"/>
    <w:rsid w:val="61F7517F"/>
    <w:rsid w:val="63A92DB1"/>
    <w:rsid w:val="664A240B"/>
    <w:rsid w:val="66BB45C1"/>
    <w:rsid w:val="66E04703"/>
    <w:rsid w:val="687B1A1E"/>
    <w:rsid w:val="687D6036"/>
    <w:rsid w:val="69E87365"/>
    <w:rsid w:val="6A766917"/>
    <w:rsid w:val="6C7A0868"/>
    <w:rsid w:val="6F0F4753"/>
    <w:rsid w:val="6F26496F"/>
    <w:rsid w:val="705854DF"/>
    <w:rsid w:val="70A36114"/>
    <w:rsid w:val="72192C03"/>
    <w:rsid w:val="72B56DCF"/>
    <w:rsid w:val="734340CD"/>
    <w:rsid w:val="737E5695"/>
    <w:rsid w:val="74736C5F"/>
    <w:rsid w:val="74AB4371"/>
    <w:rsid w:val="74E30734"/>
    <w:rsid w:val="75703482"/>
    <w:rsid w:val="7611501A"/>
    <w:rsid w:val="774F0DA8"/>
    <w:rsid w:val="7840771E"/>
    <w:rsid w:val="79236B46"/>
    <w:rsid w:val="7B0D3A08"/>
    <w:rsid w:val="7B717425"/>
    <w:rsid w:val="7B7B6CE0"/>
    <w:rsid w:val="7C9478A1"/>
    <w:rsid w:val="7CF2493E"/>
    <w:rsid w:val="7D276133"/>
    <w:rsid w:val="7E763E55"/>
    <w:rsid w:val="7F5726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1036</Words>
  <Characters>1135</Characters>
  <Lines>0</Lines>
  <Paragraphs>0</Paragraphs>
  <TotalTime>7</TotalTime>
  <ScaleCrop>false</ScaleCrop>
  <LinksUpToDate>false</LinksUpToDate>
  <CharactersWithSpaces>1248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2023-05-16T01:02:00Z</dcterms:created>
  <dc:creator>LJX</dc:creator>
  <cp:lastModifiedBy>廖继兴</cp:lastModifiedBy>
  <dcterms:modified xsi:type="dcterms:W3CDTF">2026-07-28T02:55:37Z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8CDB6BA59D1A4FCFA38143C1BF218976_12</vt:lpwstr>
  </property>
  <property fmtid="{D5CDD505-2E9C-101B-9397-08002B2CF9AE}" pid="4" name="KSOTemplateDocerSaveRecord">
    <vt:lpwstr>eyJoZGlkIjoiODU1YjFjNjlkZTVmNDk4NTc5YmVhOWRmOGU5ZGU0MmQiLCJ1c2VySWQiOiI3MTY4NDMzMzcifQ==</vt:lpwstr>
  </property>
</Properties>
</file>