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B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氢氧化钙</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0E9C5A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47618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61B8B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055AA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现有衢州巨化锦纶有限责任公司将于2026年06月12日在公司供应商内竞比价采购氢氧化钙3000吨，竞比价模式为自由竞价，</w:t>
      </w:r>
      <w:r>
        <w:rPr>
          <w:rFonts w:hint="eastAsia" w:ascii="宋体" w:eastAsia="宋体" w:cs="宋体"/>
          <w:color w:val="000000"/>
          <w:kern w:val="0"/>
          <w:sz w:val="21"/>
          <w:szCs w:val="21"/>
        </w:rPr>
        <w:t>编号</w:t>
      </w:r>
      <w:r>
        <w:rPr>
          <w:rFonts w:ascii="宋体" w:eastAsia="宋体" w:cs="宋体"/>
          <w:color w:val="000000"/>
          <w:kern w:val="0"/>
          <w:sz w:val="28"/>
          <w:szCs w:val="28"/>
        </w:rPr>
        <w:t>：</w:t>
      </w:r>
      <w:r>
        <w:rPr>
          <w:rFonts w:hint="eastAsia" w:eastAsia="宋体"/>
          <w:b/>
          <w:bCs w:val="0"/>
          <w:sz w:val="28"/>
          <w:szCs w:val="28"/>
          <w:lang w:val="en-US" w:eastAsia="zh-CN"/>
        </w:rPr>
        <w:t>QYHG</w:t>
      </w:r>
      <w:r>
        <w:rPr>
          <w:b/>
          <w:bCs w:val="0"/>
          <w:sz w:val="28"/>
          <w:szCs w:val="28"/>
        </w:rPr>
        <w:t>202</w:t>
      </w:r>
      <w:r>
        <w:rPr>
          <w:rFonts w:hint="eastAsia"/>
          <w:b/>
          <w:bCs w:val="0"/>
          <w:sz w:val="28"/>
          <w:szCs w:val="28"/>
          <w:lang w:val="en-US" w:eastAsia="zh-CN"/>
        </w:rPr>
        <w:t>60612</w:t>
      </w:r>
      <w:r>
        <w:rPr>
          <w:rFonts w:hint="eastAsia"/>
          <w:b/>
          <w:sz w:val="32"/>
          <w:szCs w:val="32"/>
          <w:lang w:val="en-US" w:eastAsia="zh-CN"/>
        </w:rPr>
        <w:t>，</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hint="eastAsia"/>
          <w:sz w:val="24"/>
          <w:szCs w:val="32"/>
        </w:rPr>
        <w:t>202</w:t>
      </w:r>
      <w:r>
        <w:rPr>
          <w:rFonts w:hint="eastAsia"/>
          <w:sz w:val="24"/>
          <w:szCs w:val="32"/>
          <w:lang w:val="en-US" w:eastAsia="zh-CN"/>
        </w:rPr>
        <w:t>6</w:t>
      </w:r>
      <w:r>
        <w:rPr>
          <w:rFonts w:hint="eastAsia"/>
          <w:sz w:val="24"/>
          <w:szCs w:val="32"/>
        </w:rPr>
        <w:t>-0</w:t>
      </w:r>
      <w:r>
        <w:rPr>
          <w:rFonts w:hint="eastAsia"/>
          <w:sz w:val="24"/>
          <w:szCs w:val="32"/>
          <w:lang w:val="en-US" w:eastAsia="zh-CN"/>
        </w:rPr>
        <w:t>6-12</w:t>
      </w:r>
      <w:r>
        <w:rPr>
          <w:rFonts w:hint="eastAsia"/>
          <w:sz w:val="24"/>
          <w:szCs w:val="32"/>
        </w:rPr>
        <w:t xml:space="preserve">  </w:t>
      </w:r>
      <w:r>
        <w:rPr>
          <w:rFonts w:hint="eastAsia"/>
          <w:sz w:val="24"/>
          <w:szCs w:val="32"/>
          <w:lang w:val="en-US" w:eastAsia="zh-CN"/>
        </w:rPr>
        <w:t>10</w:t>
      </w:r>
      <w:r>
        <w:rPr>
          <w:rFonts w:hint="eastAsia"/>
          <w:sz w:val="24"/>
          <w:szCs w:val="32"/>
        </w:rPr>
        <w:t>:</w:t>
      </w:r>
      <w:r>
        <w:rPr>
          <w:rFonts w:hint="eastAsia"/>
          <w:sz w:val="24"/>
          <w:szCs w:val="32"/>
          <w:lang w:val="en-US" w:eastAsia="zh-CN"/>
        </w:rPr>
        <w:t>3</w:t>
      </w:r>
      <w:r>
        <w:rPr>
          <w:rFonts w:hint="eastAsia"/>
          <w:sz w:val="24"/>
          <w:szCs w:val="32"/>
        </w:rPr>
        <w:t>0:00 至 202</w:t>
      </w:r>
      <w:r>
        <w:rPr>
          <w:rFonts w:hint="eastAsia"/>
          <w:sz w:val="24"/>
          <w:szCs w:val="32"/>
          <w:lang w:val="en-US" w:eastAsia="zh-CN"/>
        </w:rPr>
        <w:t>6</w:t>
      </w:r>
      <w:r>
        <w:rPr>
          <w:rFonts w:hint="eastAsia"/>
          <w:sz w:val="24"/>
          <w:szCs w:val="32"/>
        </w:rPr>
        <w:t>-0</w:t>
      </w:r>
      <w:r>
        <w:rPr>
          <w:rFonts w:hint="eastAsia"/>
          <w:sz w:val="24"/>
          <w:szCs w:val="32"/>
          <w:lang w:val="en-US" w:eastAsia="zh-CN"/>
        </w:rPr>
        <w:t>6</w:t>
      </w:r>
      <w:r>
        <w:rPr>
          <w:rFonts w:hint="eastAsia"/>
          <w:sz w:val="24"/>
          <w:szCs w:val="32"/>
        </w:rPr>
        <w:t>-</w:t>
      </w:r>
      <w:r>
        <w:rPr>
          <w:rFonts w:hint="eastAsia"/>
          <w:sz w:val="24"/>
          <w:szCs w:val="32"/>
          <w:lang w:val="en-US" w:eastAsia="zh-CN"/>
        </w:rPr>
        <w:t>12</w:t>
      </w:r>
      <w:r>
        <w:rPr>
          <w:rFonts w:hint="eastAsia"/>
          <w:sz w:val="24"/>
          <w:szCs w:val="32"/>
        </w:rPr>
        <w:t xml:space="preserve"> </w:t>
      </w:r>
      <w:r>
        <w:rPr>
          <w:rFonts w:hint="eastAsia"/>
          <w:sz w:val="24"/>
          <w:szCs w:val="32"/>
          <w:lang w:val="en-US" w:eastAsia="zh-CN"/>
        </w:rPr>
        <w:t>11</w:t>
      </w:r>
      <w:r>
        <w:rPr>
          <w:rFonts w:hint="eastAsia"/>
          <w:sz w:val="24"/>
          <w:szCs w:val="32"/>
        </w:rPr>
        <w:t>:</w:t>
      </w:r>
      <w:r>
        <w:rPr>
          <w:rFonts w:hint="eastAsia"/>
          <w:sz w:val="24"/>
          <w:szCs w:val="32"/>
          <w:lang w:val="en-US" w:eastAsia="zh-CN"/>
        </w:rPr>
        <w:t>0</w:t>
      </w:r>
      <w:r>
        <w:rPr>
          <w:rFonts w:hint="eastAsia"/>
          <w:sz w:val="24"/>
          <w:szCs w:val="32"/>
        </w:rPr>
        <w:t>0:00</w:t>
      </w:r>
      <w:r>
        <w:rPr>
          <w:rFonts w:hint="eastAsia" w:ascii="宋体" w:hAnsi="宋体" w:eastAsia="宋体" w:cs="宋体"/>
          <w:i w:val="0"/>
          <w:iCs w:val="0"/>
          <w:caps w:val="0"/>
          <w:color w:val="000000"/>
          <w:spacing w:val="0"/>
          <w:kern w:val="0"/>
          <w:sz w:val="21"/>
          <w:szCs w:val="21"/>
          <w:shd w:val="clear" w:fill="FFFFFF"/>
          <w:lang w:val="en-US" w:eastAsia="zh-CN" w:bidi="ar"/>
        </w:rPr>
        <w:t>。</w:t>
      </w:r>
    </w:p>
    <w:p w14:paraId="7EB1B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氢氧化钙供应指标如下：</w:t>
      </w:r>
      <w:r>
        <w:rPr>
          <w:rFonts w:hint="eastAsia" w:ascii="宋体" w:hAnsi="宋体" w:eastAsia="宋体" w:cs="宋体"/>
          <w:i w:val="0"/>
          <w:iCs w:val="0"/>
          <w:caps w:val="0"/>
          <w:color w:val="000000"/>
          <w:spacing w:val="0"/>
          <w:kern w:val="0"/>
          <w:sz w:val="18"/>
          <w:szCs w:val="18"/>
          <w:shd w:val="clear" w:fill="FFFFFF"/>
          <w:lang w:val="en-US" w:eastAsia="zh-CN" w:bidi="ar"/>
        </w:rPr>
        <w:t xml:space="preserve"> HG/T 4120-2024               </w:t>
      </w:r>
    </w:p>
    <w:tbl>
      <w:tblPr>
        <w:tblStyle w:val="2"/>
        <w:tblW w:w="794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350"/>
        <w:gridCol w:w="3590"/>
      </w:tblGrid>
      <w:tr w14:paraId="1D9BD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0" w:hRule="atLeast"/>
          <w:tblCellSpacing w:w="0" w:type="dxa"/>
          <w:jc w:val="center"/>
        </w:trPr>
        <w:tc>
          <w:tcPr>
            <w:tcW w:w="7940" w:type="dxa"/>
            <w:gridSpan w:val="2"/>
            <w:shd w:val="clear" w:color="auto" w:fill="FFFFFF"/>
            <w:tcMar>
              <w:top w:w="30" w:type="dxa"/>
              <w:left w:w="60" w:type="dxa"/>
              <w:bottom w:w="30" w:type="dxa"/>
              <w:right w:w="60" w:type="dxa"/>
            </w:tcMar>
            <w:vAlign w:val="center"/>
          </w:tcPr>
          <w:p w14:paraId="59573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kern w:val="0"/>
                <w:sz w:val="21"/>
                <w:szCs w:val="21"/>
                <w:vertAlign w:val="baseline"/>
                <w:lang w:val="en-US" w:eastAsia="zh-CN" w:bidi="ar"/>
              </w:rPr>
              <w:t>氢氧化钙产品质量指标</w:t>
            </w:r>
          </w:p>
        </w:tc>
      </w:tr>
      <w:tr w14:paraId="226D4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6" w:hRule="atLeast"/>
          <w:tblCellSpacing w:w="0" w:type="dxa"/>
          <w:jc w:val="center"/>
        </w:trPr>
        <w:tc>
          <w:tcPr>
            <w:tcW w:w="4350" w:type="dxa"/>
            <w:shd w:val="clear" w:color="auto" w:fill="FFFFFF"/>
            <w:tcMar>
              <w:top w:w="30" w:type="dxa"/>
              <w:left w:w="60" w:type="dxa"/>
              <w:bottom w:w="30" w:type="dxa"/>
              <w:right w:w="60" w:type="dxa"/>
            </w:tcMar>
            <w:vAlign w:val="center"/>
          </w:tcPr>
          <w:p w14:paraId="421BDC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检   验   项   目</w:t>
            </w:r>
          </w:p>
        </w:tc>
        <w:tc>
          <w:tcPr>
            <w:tcW w:w="3590" w:type="dxa"/>
            <w:shd w:val="clear" w:color="auto" w:fill="FFFFFF"/>
            <w:tcMar>
              <w:top w:w="30" w:type="dxa"/>
              <w:left w:w="60" w:type="dxa"/>
              <w:bottom w:w="30" w:type="dxa"/>
              <w:right w:w="60" w:type="dxa"/>
            </w:tcMar>
            <w:vAlign w:val="center"/>
          </w:tcPr>
          <w:p w14:paraId="6BF63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指    标</w:t>
            </w:r>
          </w:p>
        </w:tc>
      </w:tr>
      <w:tr w14:paraId="053D2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tblCellSpacing w:w="0" w:type="dxa"/>
          <w:jc w:val="center"/>
        </w:trPr>
        <w:tc>
          <w:tcPr>
            <w:tcW w:w="4350" w:type="dxa"/>
            <w:shd w:val="clear" w:color="auto" w:fill="FFFFFF"/>
            <w:tcMar>
              <w:top w:w="30" w:type="dxa"/>
              <w:left w:w="60" w:type="dxa"/>
              <w:bottom w:w="30" w:type="dxa"/>
              <w:right w:w="60" w:type="dxa"/>
            </w:tcMar>
            <w:vAlign w:val="center"/>
          </w:tcPr>
          <w:p w14:paraId="5CE33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外      观</w:t>
            </w:r>
          </w:p>
        </w:tc>
        <w:tc>
          <w:tcPr>
            <w:tcW w:w="3590" w:type="dxa"/>
            <w:shd w:val="clear" w:color="auto" w:fill="FFFFFF"/>
            <w:tcMar>
              <w:top w:w="30" w:type="dxa"/>
              <w:left w:w="60" w:type="dxa"/>
              <w:bottom w:w="30" w:type="dxa"/>
              <w:right w:w="60" w:type="dxa"/>
            </w:tcMar>
            <w:vAlign w:val="center"/>
          </w:tcPr>
          <w:p w14:paraId="11ED18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sz w:val="21"/>
                <w:szCs w:val="21"/>
                <w:lang w:val="en-US"/>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白色粉末</w:t>
            </w:r>
          </w:p>
        </w:tc>
      </w:tr>
      <w:tr w14:paraId="65E6F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3" w:hRule="atLeast"/>
          <w:tblCellSpacing w:w="0" w:type="dxa"/>
          <w:jc w:val="center"/>
        </w:trPr>
        <w:tc>
          <w:tcPr>
            <w:tcW w:w="4350" w:type="dxa"/>
            <w:shd w:val="clear" w:color="auto" w:fill="FFFFFF"/>
            <w:tcMar>
              <w:top w:w="30" w:type="dxa"/>
              <w:left w:w="60" w:type="dxa"/>
              <w:bottom w:w="30" w:type="dxa"/>
              <w:right w:w="60" w:type="dxa"/>
            </w:tcMar>
            <w:vAlign w:val="center"/>
          </w:tcPr>
          <w:p w14:paraId="412BBE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氢氧化钙，%          ≥</w:t>
            </w:r>
          </w:p>
        </w:tc>
        <w:tc>
          <w:tcPr>
            <w:tcW w:w="3590" w:type="dxa"/>
            <w:shd w:val="clear" w:color="auto" w:fill="FFFFFF"/>
            <w:tcMar>
              <w:top w:w="30" w:type="dxa"/>
              <w:left w:w="60" w:type="dxa"/>
              <w:bottom w:w="30" w:type="dxa"/>
              <w:right w:w="60" w:type="dxa"/>
            </w:tcMar>
            <w:vAlign w:val="center"/>
          </w:tcPr>
          <w:p w14:paraId="1E81B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95.0</w:t>
            </w:r>
          </w:p>
        </w:tc>
      </w:tr>
      <w:tr w14:paraId="52B6DA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13" w:hRule="atLeast"/>
          <w:tblCellSpacing w:w="0" w:type="dxa"/>
          <w:jc w:val="center"/>
        </w:trPr>
        <w:tc>
          <w:tcPr>
            <w:tcW w:w="4350" w:type="dxa"/>
            <w:shd w:val="clear" w:color="auto" w:fill="FFFFFF"/>
            <w:tcMar>
              <w:top w:w="30" w:type="dxa"/>
              <w:left w:w="60" w:type="dxa"/>
              <w:bottom w:w="30" w:type="dxa"/>
              <w:right w:w="60" w:type="dxa"/>
            </w:tcMar>
            <w:vAlign w:val="center"/>
          </w:tcPr>
          <w:p w14:paraId="1629E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游离氧化钙，%              ≤</w:t>
            </w:r>
          </w:p>
        </w:tc>
        <w:tc>
          <w:tcPr>
            <w:tcW w:w="3590" w:type="dxa"/>
            <w:shd w:val="clear" w:color="auto" w:fill="FFFFFF"/>
            <w:tcMar>
              <w:top w:w="30" w:type="dxa"/>
              <w:left w:w="60" w:type="dxa"/>
              <w:bottom w:w="30" w:type="dxa"/>
              <w:right w:w="60" w:type="dxa"/>
            </w:tcMar>
            <w:vAlign w:val="center"/>
          </w:tcPr>
          <w:p w14:paraId="4D9F2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2.5</w:t>
            </w:r>
          </w:p>
        </w:tc>
      </w:tr>
      <w:tr w14:paraId="0AA68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0" w:hRule="atLeast"/>
          <w:tblCellSpacing w:w="0" w:type="dxa"/>
          <w:jc w:val="center"/>
        </w:trPr>
        <w:tc>
          <w:tcPr>
            <w:tcW w:w="4350" w:type="dxa"/>
            <w:shd w:val="clear" w:color="auto" w:fill="FFFFFF"/>
            <w:tcMar>
              <w:top w:w="30" w:type="dxa"/>
              <w:left w:w="60" w:type="dxa"/>
              <w:bottom w:w="30" w:type="dxa"/>
              <w:right w:w="60" w:type="dxa"/>
            </w:tcMar>
            <w:vAlign w:val="center"/>
          </w:tcPr>
          <w:p w14:paraId="1E2478E2">
            <w:pPr>
              <w:spacing w:line="288" w:lineRule="auto"/>
              <w:jc w:val="both"/>
              <w:rPr>
                <w:rFonts w:hint="eastAsia" w:ascii="宋体" w:hAnsi="宋体" w:eastAsia="宋体" w:cs="宋体"/>
                <w:b w:val="0"/>
                <w:bCs w:val="0"/>
                <w:sz w:val="21"/>
                <w:szCs w:val="21"/>
              </w:rPr>
            </w:pPr>
            <w:r>
              <w:rPr>
                <w:rFonts w:hint="eastAsia" w:ascii="宋体" w:cs="宋体"/>
                <w:b w:val="0"/>
                <w:bCs w:val="0"/>
                <w:color w:val="000000"/>
                <w:sz w:val="21"/>
                <w:szCs w:val="21"/>
                <w:lang w:val="en-US" w:eastAsia="zh-CN"/>
              </w:rPr>
              <w:t>氧化镁</w:t>
            </w:r>
            <w:r>
              <w:rPr>
                <w:rFonts w:hint="eastAsia" w:ascii="宋体" w:cs="宋体"/>
                <w:b w:val="0"/>
                <w:bCs w:val="0"/>
                <w:color w:val="000000"/>
                <w:sz w:val="21"/>
                <w:szCs w:val="21"/>
                <w:lang w:eastAsia="zh-CN"/>
              </w:rPr>
              <w:t>，</w:t>
            </w:r>
            <w:r>
              <w:rPr>
                <w:rFonts w:hint="eastAsia" w:ascii="宋体" w:cs="宋体"/>
                <w:b w:val="0"/>
                <w:bCs w:val="0"/>
                <w:color w:val="000000"/>
                <w:sz w:val="21"/>
                <w:szCs w:val="21"/>
              </w:rPr>
              <w:t>%</w:t>
            </w:r>
            <w:r>
              <w:rPr>
                <w:rFonts w:hint="eastAsia" w:ascii="宋体" w:cs="宋体"/>
                <w:b w:val="0"/>
                <w:bCs w:val="0"/>
                <w:color w:val="000000"/>
                <w:sz w:val="21"/>
                <w:szCs w:val="21"/>
                <w:lang w:val="en-US" w:eastAsia="zh-CN"/>
              </w:rPr>
              <w:t xml:space="preserve">              </w:t>
            </w:r>
            <w:r>
              <w:rPr>
                <w:rFonts w:hint="eastAsia" w:ascii="宋体" w:hAnsi="宋体" w:eastAsia="宋体" w:cs="宋体"/>
                <w:b w:val="0"/>
                <w:bCs w:val="0"/>
                <w:i w:val="0"/>
                <w:iCs w:val="0"/>
                <w:caps w:val="0"/>
                <w:color w:val="auto"/>
                <w:spacing w:val="0"/>
                <w:kern w:val="0"/>
                <w:sz w:val="21"/>
                <w:szCs w:val="21"/>
                <w:vertAlign w:val="baseline"/>
                <w:lang w:val="en-US" w:eastAsia="zh-CN" w:bidi="ar"/>
              </w:rPr>
              <w:t>≤</w:t>
            </w:r>
          </w:p>
        </w:tc>
        <w:tc>
          <w:tcPr>
            <w:tcW w:w="3590" w:type="dxa"/>
            <w:shd w:val="clear" w:color="auto" w:fill="FFFFFF"/>
            <w:tcMar>
              <w:top w:w="30" w:type="dxa"/>
              <w:left w:w="60" w:type="dxa"/>
              <w:bottom w:w="30" w:type="dxa"/>
              <w:right w:w="60" w:type="dxa"/>
            </w:tcMar>
            <w:vAlign w:val="center"/>
          </w:tcPr>
          <w:p w14:paraId="4AC7F0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1.5</w:t>
            </w:r>
          </w:p>
        </w:tc>
      </w:tr>
      <w:tr w14:paraId="15B5C5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9" w:hRule="atLeast"/>
          <w:tblCellSpacing w:w="0" w:type="dxa"/>
          <w:jc w:val="center"/>
        </w:trPr>
        <w:tc>
          <w:tcPr>
            <w:tcW w:w="4350" w:type="dxa"/>
            <w:shd w:val="clear" w:color="auto" w:fill="FFFFFF"/>
            <w:tcMar>
              <w:top w:w="30" w:type="dxa"/>
              <w:left w:w="60" w:type="dxa"/>
              <w:bottom w:w="30" w:type="dxa"/>
              <w:right w:w="60" w:type="dxa"/>
            </w:tcMar>
            <w:vAlign w:val="center"/>
          </w:tcPr>
          <w:p w14:paraId="272E2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酸不溶物</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6658A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0.25</w:t>
            </w:r>
          </w:p>
        </w:tc>
      </w:tr>
      <w:tr w14:paraId="25E6B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4" w:hRule="atLeast"/>
          <w:tblCellSpacing w:w="0" w:type="dxa"/>
          <w:jc w:val="center"/>
        </w:trPr>
        <w:tc>
          <w:tcPr>
            <w:tcW w:w="4350" w:type="dxa"/>
            <w:shd w:val="clear" w:color="auto" w:fill="FFFFFF"/>
            <w:tcMar>
              <w:top w:w="30" w:type="dxa"/>
              <w:left w:w="60" w:type="dxa"/>
              <w:bottom w:w="30" w:type="dxa"/>
              <w:right w:w="60" w:type="dxa"/>
            </w:tcMar>
            <w:vAlign w:val="center"/>
          </w:tcPr>
          <w:p w14:paraId="01AB1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铁</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56521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0.1</w:t>
            </w:r>
          </w:p>
        </w:tc>
      </w:tr>
      <w:tr w14:paraId="5D689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4350" w:type="dxa"/>
            <w:shd w:val="clear" w:color="auto" w:fill="FFFFFF"/>
            <w:tcMar>
              <w:top w:w="30" w:type="dxa"/>
              <w:left w:w="60" w:type="dxa"/>
              <w:bottom w:w="30" w:type="dxa"/>
              <w:right w:w="60" w:type="dxa"/>
            </w:tcMar>
            <w:vAlign w:val="center"/>
          </w:tcPr>
          <w:p w14:paraId="324E0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干燥减量</w:t>
            </w:r>
            <w:r>
              <w:rPr>
                <w:rFonts w:hint="eastAsia" w:ascii="宋体" w:hAnsi="宋体" w:eastAsia="宋体" w:cs="宋体"/>
                <w:b w:val="0"/>
                <w:bCs w:val="0"/>
                <w:i w:val="0"/>
                <w:iCs w:val="0"/>
                <w:caps w:val="0"/>
                <w:color w:val="000000"/>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20820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i w:val="0"/>
                <w:iCs w:val="0"/>
                <w:caps w:val="0"/>
                <w:color w:val="auto"/>
                <w:spacing w:val="0"/>
                <w:kern w:val="0"/>
                <w:sz w:val="21"/>
                <w:szCs w:val="21"/>
                <w:vertAlign w:val="baseline"/>
                <w:lang w:val="en-US" w:eastAsia="zh-CN" w:bidi="ar"/>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1.0</w:t>
            </w:r>
          </w:p>
        </w:tc>
      </w:tr>
      <w:tr w14:paraId="4C1E8A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3" w:hRule="atLeast"/>
          <w:tblCellSpacing w:w="0" w:type="dxa"/>
          <w:jc w:val="center"/>
        </w:trPr>
        <w:tc>
          <w:tcPr>
            <w:tcW w:w="4350" w:type="dxa"/>
            <w:shd w:val="clear" w:color="auto" w:fill="FFFFFF"/>
            <w:tcMar>
              <w:top w:w="30" w:type="dxa"/>
              <w:left w:w="60" w:type="dxa"/>
              <w:bottom w:w="30" w:type="dxa"/>
              <w:right w:w="60" w:type="dxa"/>
            </w:tcMar>
            <w:vAlign w:val="center"/>
          </w:tcPr>
          <w:p w14:paraId="4CDA0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sz w:val="21"/>
                <w:szCs w:val="21"/>
              </w:rPr>
            </w:pPr>
            <w:r>
              <w:rPr>
                <w:rFonts w:hint="eastAsia" w:ascii="宋体" w:cs="宋体"/>
                <w:b w:val="0"/>
                <w:bCs w:val="0"/>
                <w:color w:val="000000"/>
                <w:sz w:val="21"/>
                <w:szCs w:val="21"/>
              </w:rPr>
              <w:t>筛余物（0.045mm试验筛）</w:t>
            </w:r>
            <w:r>
              <w:rPr>
                <w:rFonts w:hint="eastAsia" w:ascii="宋体" w:hAnsi="宋体" w:eastAsia="宋体" w:cs="宋体"/>
                <w:b w:val="0"/>
                <w:bCs w:val="0"/>
                <w:i w:val="0"/>
                <w:iCs w:val="0"/>
                <w:caps w:val="0"/>
                <w:color w:val="auto"/>
                <w:spacing w:val="0"/>
                <w:kern w:val="0"/>
                <w:sz w:val="21"/>
                <w:szCs w:val="21"/>
                <w:vertAlign w:val="baseline"/>
                <w:lang w:val="en-US" w:eastAsia="zh-CN" w:bidi="ar"/>
              </w:rPr>
              <w:t>,％ ≤</w:t>
            </w:r>
          </w:p>
        </w:tc>
        <w:tc>
          <w:tcPr>
            <w:tcW w:w="3590" w:type="dxa"/>
            <w:shd w:val="clear" w:color="auto" w:fill="FFFFFF"/>
            <w:tcMar>
              <w:top w:w="30" w:type="dxa"/>
              <w:left w:w="60" w:type="dxa"/>
              <w:bottom w:w="30" w:type="dxa"/>
              <w:right w:w="60" w:type="dxa"/>
            </w:tcMar>
            <w:vAlign w:val="center"/>
          </w:tcPr>
          <w:p w14:paraId="7AC36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auto"/>
                <w:spacing w:val="0"/>
                <w:kern w:val="0"/>
                <w:sz w:val="21"/>
                <w:szCs w:val="21"/>
                <w:vertAlign w:val="baseline"/>
                <w:lang w:val="en-US" w:eastAsia="zh-CN" w:bidi="ar"/>
              </w:rPr>
              <w:t>5</w:t>
            </w:r>
          </w:p>
        </w:tc>
      </w:tr>
    </w:tbl>
    <w:p w14:paraId="0873AB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1ACD53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报价单位为我公司的合格供应商。</w:t>
      </w:r>
    </w:p>
    <w:p w14:paraId="4573AE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参加竞价的会员在巨化数字商城报价，</w:t>
      </w:r>
      <w:r>
        <w:rPr>
          <w:rFonts w:hint="eastAsia" w:ascii="宋体" w:hAnsi="宋体" w:eastAsia="宋体" w:cs="宋体"/>
          <w:i w:val="0"/>
          <w:iCs w:val="0"/>
          <w:caps w:val="0"/>
          <w:color w:val="000000"/>
          <w:spacing w:val="0"/>
          <w:sz w:val="21"/>
          <w:szCs w:val="21"/>
          <w:shd w:val="clear" w:fill="FFFFFF"/>
        </w:rPr>
        <w:t>开始竞价报价，用户可以多次报价直至竞价结束，以最后一次报价为准，报价为一票制到货价。</w:t>
      </w:r>
      <w:r>
        <w:rPr>
          <w:rFonts w:hint="eastAsia" w:ascii="宋体" w:hAnsi="宋体" w:eastAsia="宋体" w:cs="宋体"/>
          <w:i w:val="0"/>
          <w:iCs w:val="0"/>
          <w:caps w:val="0"/>
          <w:color w:val="000000"/>
          <w:spacing w:val="0"/>
          <w:sz w:val="21"/>
          <w:szCs w:val="21"/>
          <w:shd w:val="clear" w:fill="FFFFFF"/>
          <w:lang w:val="en-US" w:eastAsia="zh-CN"/>
        </w:rPr>
        <w:t>送货时间</w:t>
      </w:r>
      <w:r>
        <w:rPr>
          <w:rFonts w:hint="eastAsia" w:ascii="宋体" w:hAnsi="宋体" w:eastAsia="宋体" w:cs="宋体"/>
          <w:i w:val="0"/>
          <w:iCs w:val="0"/>
          <w:caps w:val="0"/>
          <w:color w:val="000000"/>
          <w:spacing w:val="0"/>
          <w:kern w:val="0"/>
          <w:sz w:val="21"/>
          <w:szCs w:val="21"/>
          <w:shd w:val="clear" w:fill="FFFFFF"/>
          <w:lang w:val="en-US" w:eastAsia="zh-CN" w:bidi="ar"/>
        </w:rPr>
        <w:t>2026年06月14日至2026年7月30日。（供货时间和供货量详情见合同）</w:t>
      </w:r>
    </w:p>
    <w:p w14:paraId="7195B6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3、衢州巨化锦纶有限责任公司将对每车货物进行检测。如发现质量问题，将立即终止合同，供应方承担违约责任。</w:t>
      </w:r>
    </w:p>
    <w:p w14:paraId="570C3B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4、竞价结束后，由我司监察室监督下组织对本次竞价采购进行评标，确定中标单位并予以公示。公示结束后，成交双方签署合同,按照合同要求履行。</w:t>
      </w:r>
    </w:p>
    <w:p w14:paraId="1FE28C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1E5551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6、交付过程中如发现有产品质量以次充好，情况，我司有权终止合同并追偿损失，并对相应供方进行性终止合作出发，一年内不得参与我司氢氧化钙采购报价。</w:t>
      </w:r>
    </w:p>
    <w:p w14:paraId="4CF27B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6B7C8B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15F12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2、产品交货方式：一票制送到，供方负责运输，运输过程中相关安全事宜由供方负责，并承担运输费用。供方根据需方生产需求计划均衡发货，以需方过磅数量结算。</w:t>
      </w:r>
    </w:p>
    <w:p w14:paraId="6A44A1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3、产品交货地：衢州巨化锦纶有限责任公司；浙江省衢州市柯城区巨化北二道56号</w:t>
      </w:r>
    </w:p>
    <w:p w14:paraId="278BC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4、报价形式为一票制承兑送到价格，其他形式报价视为弃标，如有其它要求请上传报价函备注说明。</w:t>
      </w:r>
    </w:p>
    <w:p w14:paraId="2212D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10E94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1267C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2CF23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600F4B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firstLineChars="2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讼费、买受方的损失等。</w:t>
      </w:r>
    </w:p>
    <w:p w14:paraId="41887C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000000"/>
          <w:spacing w:val="0"/>
          <w:sz w:val="21"/>
          <w:szCs w:val="21"/>
        </w:rPr>
      </w:pPr>
    </w:p>
    <w:p w14:paraId="1631A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27AB8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5303" w:leftChars="2125" w:right="0" w:hanging="840" w:hangingChars="40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2026年06月12</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日</w:t>
      </w:r>
    </w:p>
    <w:p w14:paraId="0D0C2DFE">
      <w:pPr>
        <w:spacing w:line="360" w:lineRule="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67573"/>
    <w:multiLevelType w:val="singleLevel"/>
    <w:tmpl w:val="974675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300783C"/>
    <w:rsid w:val="0350434C"/>
    <w:rsid w:val="05677DE7"/>
    <w:rsid w:val="059B116C"/>
    <w:rsid w:val="05FC677A"/>
    <w:rsid w:val="067120D2"/>
    <w:rsid w:val="069E1652"/>
    <w:rsid w:val="070B1DD7"/>
    <w:rsid w:val="08C830EF"/>
    <w:rsid w:val="08F828F0"/>
    <w:rsid w:val="090663E0"/>
    <w:rsid w:val="0A4869AA"/>
    <w:rsid w:val="0AF33DD5"/>
    <w:rsid w:val="0BDE70D1"/>
    <w:rsid w:val="0E1C16BC"/>
    <w:rsid w:val="0FE04931"/>
    <w:rsid w:val="1012414F"/>
    <w:rsid w:val="11034D52"/>
    <w:rsid w:val="11576061"/>
    <w:rsid w:val="11C8679C"/>
    <w:rsid w:val="11DD7609"/>
    <w:rsid w:val="12581886"/>
    <w:rsid w:val="13B43C16"/>
    <w:rsid w:val="13FE3E27"/>
    <w:rsid w:val="146401FE"/>
    <w:rsid w:val="15AB3899"/>
    <w:rsid w:val="16E6580D"/>
    <w:rsid w:val="17B12F60"/>
    <w:rsid w:val="18A670AA"/>
    <w:rsid w:val="19661E28"/>
    <w:rsid w:val="1A907657"/>
    <w:rsid w:val="1BEC2FB3"/>
    <w:rsid w:val="1C5A56F6"/>
    <w:rsid w:val="1C741023"/>
    <w:rsid w:val="1F0A790E"/>
    <w:rsid w:val="22BC6E6F"/>
    <w:rsid w:val="267306C4"/>
    <w:rsid w:val="29FB37DC"/>
    <w:rsid w:val="2AF00D10"/>
    <w:rsid w:val="2B0F69C1"/>
    <w:rsid w:val="2CC80D1A"/>
    <w:rsid w:val="2CCB6075"/>
    <w:rsid w:val="2ED66A2F"/>
    <w:rsid w:val="2F0117A8"/>
    <w:rsid w:val="306C426A"/>
    <w:rsid w:val="31730F91"/>
    <w:rsid w:val="3276479B"/>
    <w:rsid w:val="32A537F8"/>
    <w:rsid w:val="32AB34D3"/>
    <w:rsid w:val="33D4663A"/>
    <w:rsid w:val="349124F1"/>
    <w:rsid w:val="366153BB"/>
    <w:rsid w:val="369E5BD7"/>
    <w:rsid w:val="37DA41AF"/>
    <w:rsid w:val="382C790C"/>
    <w:rsid w:val="387323D9"/>
    <w:rsid w:val="38943EA7"/>
    <w:rsid w:val="389F682D"/>
    <w:rsid w:val="3913458B"/>
    <w:rsid w:val="395008E5"/>
    <w:rsid w:val="395F2775"/>
    <w:rsid w:val="3996244B"/>
    <w:rsid w:val="3A27080A"/>
    <w:rsid w:val="3A9D4869"/>
    <w:rsid w:val="3AD740CB"/>
    <w:rsid w:val="3DE2791A"/>
    <w:rsid w:val="3E7C03DF"/>
    <w:rsid w:val="3EAB4770"/>
    <w:rsid w:val="3EF10F43"/>
    <w:rsid w:val="3F9F33F0"/>
    <w:rsid w:val="421B164C"/>
    <w:rsid w:val="43000F6E"/>
    <w:rsid w:val="44A93119"/>
    <w:rsid w:val="45D02D5A"/>
    <w:rsid w:val="478B18A1"/>
    <w:rsid w:val="47BB6DEB"/>
    <w:rsid w:val="49A8010F"/>
    <w:rsid w:val="4A1277D9"/>
    <w:rsid w:val="4B4E30AC"/>
    <w:rsid w:val="4BF03B4A"/>
    <w:rsid w:val="4E7D3942"/>
    <w:rsid w:val="4F921340"/>
    <w:rsid w:val="509B31FA"/>
    <w:rsid w:val="51524316"/>
    <w:rsid w:val="51B965D2"/>
    <w:rsid w:val="522D5F4B"/>
    <w:rsid w:val="52630BD1"/>
    <w:rsid w:val="527C13A3"/>
    <w:rsid w:val="531E4F13"/>
    <w:rsid w:val="53FD5F81"/>
    <w:rsid w:val="5433318E"/>
    <w:rsid w:val="553A4DCB"/>
    <w:rsid w:val="55DA1C29"/>
    <w:rsid w:val="5652066A"/>
    <w:rsid w:val="568E061D"/>
    <w:rsid w:val="58A57AD6"/>
    <w:rsid w:val="5A1534DC"/>
    <w:rsid w:val="5A987886"/>
    <w:rsid w:val="5AC45807"/>
    <w:rsid w:val="5BD6038F"/>
    <w:rsid w:val="5CC97772"/>
    <w:rsid w:val="5DB94057"/>
    <w:rsid w:val="5EF22348"/>
    <w:rsid w:val="611F2AAF"/>
    <w:rsid w:val="6134417C"/>
    <w:rsid w:val="61F7517F"/>
    <w:rsid w:val="63A92DB1"/>
    <w:rsid w:val="664A240B"/>
    <w:rsid w:val="66BB45C1"/>
    <w:rsid w:val="66E04703"/>
    <w:rsid w:val="687B1A1E"/>
    <w:rsid w:val="687D6036"/>
    <w:rsid w:val="69E87365"/>
    <w:rsid w:val="6A766917"/>
    <w:rsid w:val="6C7A0868"/>
    <w:rsid w:val="6F0F4753"/>
    <w:rsid w:val="6F26496F"/>
    <w:rsid w:val="705854DF"/>
    <w:rsid w:val="70A36114"/>
    <w:rsid w:val="72192C03"/>
    <w:rsid w:val="72B56DCF"/>
    <w:rsid w:val="734340CD"/>
    <w:rsid w:val="737E5695"/>
    <w:rsid w:val="74736C5F"/>
    <w:rsid w:val="74AB4371"/>
    <w:rsid w:val="74E30734"/>
    <w:rsid w:val="75703482"/>
    <w:rsid w:val="7611501A"/>
    <w:rsid w:val="774F0DA8"/>
    <w:rsid w:val="7840771E"/>
    <w:rsid w:val="79236B46"/>
    <w:rsid w:val="7B0D3A08"/>
    <w:rsid w:val="7B717425"/>
    <w:rsid w:val="7B7B6CE0"/>
    <w:rsid w:val="7C9478A1"/>
    <w:rsid w:val="7CF2493E"/>
    <w:rsid w:val="7D276133"/>
    <w:rsid w:val="7E763E55"/>
    <w:rsid w:val="7F57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526</Words>
  <Characters>601</Characters>
  <Lines>0</Lines>
  <Paragraphs>0</Paragraphs>
  <TotalTime>4</TotalTime>
  <ScaleCrop>false</ScaleCrop>
  <LinksUpToDate>false</LinksUpToDate>
  <CharactersWithSpaces>699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2026-06-11T23:53:15Z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