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528DB">
      <w:pPr>
        <w:jc w:val="center"/>
        <w:rPr>
          <w:rFonts w:hint="eastAsia" w:ascii="仿宋" w:hAnsi="仿宋" w:eastAsia="仿宋"/>
          <w:b/>
          <w:bCs/>
          <w:sz w:val="28"/>
          <w:szCs w:val="28"/>
        </w:rPr>
      </w:pPr>
      <w:r>
        <w:rPr>
          <w:rFonts w:hint="eastAsia" w:ascii="仿宋" w:hAnsi="仿宋" w:eastAsia="仿宋"/>
          <w:b/>
          <w:bCs/>
          <w:sz w:val="28"/>
          <w:szCs w:val="28"/>
          <w:lang w:val="en-US" w:eastAsia="zh-CN"/>
        </w:rPr>
        <w:t>衢州巨化锦纶有限责任公司固体己内酰胺（等外品）竞价销售</w:t>
      </w:r>
      <w:r>
        <w:rPr>
          <w:rFonts w:hint="eastAsia" w:ascii="仿宋" w:hAnsi="仿宋" w:eastAsia="仿宋"/>
          <w:b/>
          <w:bCs/>
          <w:sz w:val="28"/>
          <w:szCs w:val="28"/>
        </w:rPr>
        <w:t>公告</w:t>
      </w:r>
    </w:p>
    <w:p w14:paraId="42383AB0">
      <w:pPr>
        <w:jc w:val="center"/>
        <w:rPr>
          <w:rFonts w:hint="eastAsia" w:ascii="仿宋" w:hAnsi="仿宋" w:eastAsia="仿宋"/>
          <w:b/>
          <w:bCs/>
          <w:sz w:val="28"/>
          <w:szCs w:val="28"/>
        </w:rPr>
      </w:pPr>
    </w:p>
    <w:p w14:paraId="78581D2C">
      <w:pPr>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衢州巨化锦纶有限责任公司（以下简称锦纶公司）于2026年05月21日对固体己内酰胺（等外品）</w:t>
      </w:r>
      <w:r>
        <w:rPr>
          <w:rFonts w:hint="eastAsia" w:ascii="宋体" w:hAnsi="宋体" w:eastAsia="宋体" w:cs="宋体"/>
          <w:color w:val="auto"/>
          <w:sz w:val="24"/>
          <w:szCs w:val="24"/>
        </w:rPr>
        <w:t>进行网上竞价</w:t>
      </w:r>
      <w:r>
        <w:rPr>
          <w:rFonts w:hint="eastAsia" w:ascii="宋体" w:hAnsi="宋体" w:eastAsia="宋体" w:cs="宋体"/>
          <w:color w:val="auto"/>
          <w:sz w:val="24"/>
          <w:szCs w:val="24"/>
          <w:lang w:val="en-US" w:eastAsia="zh-CN"/>
        </w:rPr>
        <w:t>销售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现将有关事宜公告如下。</w:t>
      </w:r>
    </w:p>
    <w:p w14:paraId="1025DEB6">
      <w:pPr>
        <w:numPr>
          <w:ilvl w:val="0"/>
          <w:numId w:val="1"/>
        </w:numPr>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竞价</w:t>
      </w:r>
      <w:r>
        <w:rPr>
          <w:rFonts w:hint="eastAsia" w:ascii="宋体" w:hAnsi="宋体" w:cs="宋体"/>
          <w:color w:val="auto"/>
          <w:sz w:val="24"/>
          <w:szCs w:val="24"/>
          <w:lang w:val="en-US" w:eastAsia="zh-CN"/>
        </w:rPr>
        <w:t>销售</w:t>
      </w:r>
      <w:r>
        <w:rPr>
          <w:rFonts w:hint="eastAsia" w:ascii="宋体" w:hAnsi="宋体" w:eastAsia="宋体" w:cs="宋体"/>
          <w:color w:val="auto"/>
          <w:sz w:val="24"/>
          <w:szCs w:val="24"/>
          <w:lang w:val="en-US" w:eastAsia="zh-CN"/>
        </w:rPr>
        <w:t>数量约为</w:t>
      </w:r>
      <w:r>
        <w:rPr>
          <w:rFonts w:hint="eastAsia" w:ascii="宋体" w:hAnsi="宋体" w:cs="宋体"/>
          <w:color w:val="auto"/>
          <w:sz w:val="24"/>
          <w:szCs w:val="24"/>
          <w:lang w:val="en-US" w:eastAsia="zh-CN"/>
        </w:rPr>
        <w:t>212</w:t>
      </w:r>
      <w:r>
        <w:rPr>
          <w:rFonts w:hint="eastAsia" w:ascii="宋体" w:hAnsi="宋体" w:eastAsia="宋体" w:cs="宋体"/>
          <w:color w:val="auto"/>
          <w:sz w:val="24"/>
          <w:szCs w:val="24"/>
        </w:rPr>
        <w:t>吨</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装车数量的不</w:t>
      </w:r>
      <w:r>
        <w:rPr>
          <w:rFonts w:hint="eastAsia" w:ascii="宋体" w:hAnsi="宋体" w:eastAsia="宋体" w:cs="宋体"/>
          <w:color w:val="auto"/>
          <w:sz w:val="24"/>
          <w:szCs w:val="24"/>
        </w:rPr>
        <w:t>确定性，</w:t>
      </w:r>
      <w:r>
        <w:rPr>
          <w:rFonts w:hint="eastAsia" w:ascii="宋体" w:hAnsi="宋体" w:eastAsia="宋体" w:cs="宋体"/>
          <w:color w:val="auto"/>
          <w:sz w:val="24"/>
          <w:szCs w:val="24"/>
          <w:lang w:val="en-US" w:eastAsia="zh-CN"/>
        </w:rPr>
        <w:t>以实际</w:t>
      </w:r>
      <w:r>
        <w:rPr>
          <w:rFonts w:hint="eastAsia" w:ascii="宋体" w:hAnsi="宋体" w:cs="宋体"/>
          <w:color w:val="auto"/>
          <w:sz w:val="24"/>
          <w:szCs w:val="24"/>
          <w:lang w:val="en-US" w:eastAsia="zh-CN"/>
        </w:rPr>
        <w:t>装车数量进行结算</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。产品质量以锦纶公司分析数据为准（质量报告见附件），若需查看原件，请联系</w:t>
      </w:r>
      <w:r>
        <w:rPr>
          <w:rFonts w:hint="eastAsia" w:ascii="宋体" w:hAnsi="宋体" w:cs="宋体"/>
          <w:color w:val="000000" w:themeColor="text1"/>
          <w:sz w:val="24"/>
          <w:szCs w:val="24"/>
          <w:highlight w:val="none"/>
          <w:lang w:val="en-US" w:eastAsia="zh-CN"/>
          <w14:textFill>
            <w14:solidFill>
              <w14:schemeClr w14:val="tx1"/>
            </w14:solidFill>
          </w14:textFill>
        </w:rPr>
        <w:t>锦纶公司吴民杰</w:t>
      </w:r>
      <w:r>
        <w:rPr>
          <w:rFonts w:hint="eastAsia" w:ascii="宋体" w:hAnsi="宋体" w:cs="宋体"/>
          <w:color w:val="auto"/>
          <w:sz w:val="24"/>
          <w:szCs w:val="24"/>
          <w:lang w:val="en-US" w:eastAsia="zh-CN"/>
        </w:rPr>
        <w:t>。</w:t>
      </w:r>
    </w:p>
    <w:p w14:paraId="26C66D8B">
      <w:pPr>
        <w:numPr>
          <w:ilvl w:val="0"/>
          <w:numId w:val="1"/>
        </w:numPr>
        <w:spacing w:line="360" w:lineRule="auto"/>
        <w:ind w:lef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本次报价为</w:t>
      </w:r>
      <w:r>
        <w:rPr>
          <w:rFonts w:hint="eastAsia" w:ascii="宋体" w:hAnsi="宋体" w:cs="宋体"/>
          <w:color w:val="auto"/>
          <w:sz w:val="24"/>
          <w:szCs w:val="24"/>
          <w:lang w:eastAsia="zh-CN"/>
        </w:rPr>
        <w:t>含税自提</w:t>
      </w:r>
      <w:r>
        <w:rPr>
          <w:rFonts w:hint="eastAsia" w:ascii="宋体" w:hAnsi="宋体" w:eastAsia="宋体" w:cs="宋体"/>
          <w:color w:val="auto"/>
          <w:sz w:val="24"/>
          <w:szCs w:val="24"/>
          <w:lang w:eastAsia="zh-CN"/>
        </w:rPr>
        <w:t>价，</w:t>
      </w:r>
      <w:r>
        <w:rPr>
          <w:rFonts w:hint="eastAsia" w:ascii="宋体" w:hAnsi="宋体" w:eastAsia="宋体" w:cs="宋体"/>
          <w:color w:val="auto"/>
          <w:sz w:val="24"/>
          <w:szCs w:val="24"/>
          <w:lang w:val="en-US" w:eastAsia="zh-CN"/>
        </w:rPr>
        <w:t>按</w:t>
      </w:r>
      <w:r>
        <w:rPr>
          <w:rFonts w:hint="eastAsia" w:ascii="宋体" w:hAnsi="宋体" w:eastAsia="宋体" w:cs="宋体"/>
          <w:color w:val="auto"/>
          <w:sz w:val="24"/>
          <w:szCs w:val="24"/>
          <w:lang w:eastAsia="zh-CN"/>
        </w:rPr>
        <w:t>13%税率的增值税专用发票</w:t>
      </w:r>
      <w:r>
        <w:rPr>
          <w:rFonts w:hint="eastAsia" w:ascii="宋体" w:hAnsi="宋体" w:eastAsia="宋体" w:cs="宋体"/>
          <w:color w:val="auto"/>
          <w:sz w:val="24"/>
          <w:szCs w:val="24"/>
          <w:lang w:val="en-US" w:eastAsia="zh-CN"/>
        </w:rPr>
        <w:t>进行结算</w:t>
      </w:r>
      <w:r>
        <w:rPr>
          <w:rFonts w:hint="eastAsia" w:ascii="宋体" w:hAnsi="宋体" w:eastAsia="宋体" w:cs="宋体"/>
          <w:color w:val="auto"/>
          <w:sz w:val="24"/>
          <w:szCs w:val="24"/>
          <w:lang w:eastAsia="zh-CN"/>
        </w:rPr>
        <w:t>（如国家税率调整则按调整后的税率结算）</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以银行转账方式结算</w:t>
      </w:r>
      <w:r>
        <w:rPr>
          <w:rFonts w:hint="eastAsia" w:ascii="宋体" w:hAnsi="宋体" w:eastAsia="宋体" w:cs="宋体"/>
          <w:color w:val="auto"/>
          <w:sz w:val="24"/>
          <w:szCs w:val="24"/>
          <w:lang w:eastAsia="zh-CN"/>
        </w:rPr>
        <w:t>。</w:t>
      </w:r>
    </w:p>
    <w:p w14:paraId="65AF38B1">
      <w:pPr>
        <w:numPr>
          <w:ilvl w:val="0"/>
          <w:numId w:val="1"/>
        </w:numPr>
        <w:spacing w:line="360" w:lineRule="auto"/>
        <w:ind w:left="0"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提货地点：</w:t>
      </w:r>
      <w:r>
        <w:rPr>
          <w:rFonts w:hint="eastAsia" w:ascii="宋体" w:hAnsi="宋体" w:cs="宋体"/>
          <w:color w:val="auto"/>
          <w:sz w:val="24"/>
          <w:szCs w:val="24"/>
          <w:lang w:eastAsia="zh-CN"/>
        </w:rPr>
        <w:t>锦纶公司</w:t>
      </w:r>
      <w:r>
        <w:rPr>
          <w:rFonts w:hint="eastAsia" w:ascii="宋体" w:hAnsi="宋体" w:cs="宋体"/>
          <w:color w:val="auto"/>
          <w:sz w:val="24"/>
          <w:szCs w:val="24"/>
          <w:lang w:val="en-US" w:eastAsia="zh-CN"/>
        </w:rPr>
        <w:t>内</w:t>
      </w:r>
      <w:r>
        <w:rPr>
          <w:rFonts w:hint="eastAsia" w:ascii="宋体" w:hAnsi="宋体" w:eastAsia="宋体" w:cs="宋体"/>
          <w:color w:val="auto"/>
          <w:sz w:val="24"/>
          <w:szCs w:val="24"/>
          <w:lang w:eastAsia="zh-CN"/>
        </w:rPr>
        <w:t>，交货方式为自提</w:t>
      </w:r>
      <w:r>
        <w:rPr>
          <w:rFonts w:hint="eastAsia" w:ascii="宋体" w:hAnsi="宋体" w:cs="宋体"/>
          <w:color w:val="auto"/>
          <w:sz w:val="24"/>
          <w:szCs w:val="24"/>
          <w:lang w:eastAsia="zh-CN"/>
        </w:rPr>
        <w:t>。工厂负责装车，需额外支付装车费</w:t>
      </w:r>
      <w:r>
        <w:rPr>
          <w:rFonts w:hint="eastAsia" w:ascii="宋体" w:hAnsi="宋体" w:cs="宋体"/>
          <w:color w:val="auto"/>
          <w:sz w:val="24"/>
          <w:szCs w:val="24"/>
          <w:lang w:val="en-US" w:eastAsia="zh-CN"/>
        </w:rPr>
        <w:t>12元/吨</w:t>
      </w:r>
      <w:r>
        <w:rPr>
          <w:rFonts w:hint="eastAsia" w:ascii="宋体" w:hAnsi="宋体" w:eastAsia="宋体" w:cs="宋体"/>
          <w:color w:val="auto"/>
          <w:sz w:val="24"/>
          <w:szCs w:val="24"/>
          <w:lang w:eastAsia="zh-CN"/>
        </w:rPr>
        <w:t>。</w:t>
      </w:r>
    </w:p>
    <w:p w14:paraId="457E69E9">
      <w:pPr>
        <w:numPr>
          <w:ilvl w:val="0"/>
          <w:numId w:val="1"/>
        </w:numPr>
        <w:spacing w:line="360" w:lineRule="auto"/>
        <w:ind w:lef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产品按GB/T13254-2017标准检测分析，部分指标的检验结果超出合格范围，实际以</w:t>
      </w:r>
      <w:r>
        <w:rPr>
          <w:rFonts w:hint="eastAsia" w:ascii="宋体" w:hAnsi="宋体" w:cs="宋体"/>
          <w:color w:val="auto"/>
          <w:sz w:val="24"/>
          <w:szCs w:val="24"/>
          <w:lang w:eastAsia="zh-CN"/>
        </w:rPr>
        <w:t>我司</w:t>
      </w:r>
      <w:r>
        <w:rPr>
          <w:rFonts w:hint="eastAsia" w:ascii="宋体" w:hAnsi="宋体" w:eastAsia="宋体" w:cs="宋体"/>
          <w:color w:val="auto"/>
          <w:sz w:val="24"/>
          <w:szCs w:val="24"/>
          <w:lang w:eastAsia="zh-CN"/>
        </w:rPr>
        <w:t>的产品检验报告为准。</w:t>
      </w:r>
      <w:r>
        <w:rPr>
          <w:rFonts w:hint="eastAsia" w:ascii="宋体" w:hAnsi="宋体" w:cs="宋体"/>
          <w:color w:val="auto"/>
          <w:sz w:val="24"/>
          <w:szCs w:val="24"/>
          <w:lang w:eastAsia="zh-CN"/>
        </w:rPr>
        <w:t>一旦参与竞价报价</w:t>
      </w:r>
      <w:r>
        <w:rPr>
          <w:rFonts w:hint="eastAsia" w:ascii="宋体" w:hAnsi="宋体" w:eastAsia="宋体" w:cs="宋体"/>
          <w:color w:val="auto"/>
          <w:sz w:val="24"/>
          <w:szCs w:val="24"/>
          <w:lang w:eastAsia="zh-CN"/>
        </w:rPr>
        <w:t>，即视为</w:t>
      </w:r>
      <w:r>
        <w:rPr>
          <w:rFonts w:hint="eastAsia" w:ascii="宋体" w:hAnsi="宋体" w:cs="宋体"/>
          <w:color w:val="auto"/>
          <w:sz w:val="24"/>
          <w:szCs w:val="24"/>
          <w:lang w:eastAsia="zh-CN"/>
        </w:rPr>
        <w:t>报价方</w:t>
      </w:r>
      <w:r>
        <w:rPr>
          <w:rFonts w:hint="eastAsia" w:ascii="宋体" w:hAnsi="宋体" w:eastAsia="宋体" w:cs="宋体"/>
          <w:color w:val="auto"/>
          <w:sz w:val="24"/>
          <w:szCs w:val="24"/>
          <w:lang w:eastAsia="zh-CN"/>
        </w:rPr>
        <w:t>已充分知晓并认可产品质量状况，无任何产品质量异议。</w:t>
      </w:r>
      <w:r>
        <w:rPr>
          <w:rFonts w:hint="eastAsia" w:ascii="宋体" w:hAnsi="宋体" w:cs="宋体"/>
          <w:color w:val="auto"/>
          <w:sz w:val="24"/>
          <w:szCs w:val="24"/>
          <w:lang w:eastAsia="zh-CN"/>
        </w:rPr>
        <w:t>报价中标后，中标方</w:t>
      </w:r>
      <w:r>
        <w:rPr>
          <w:rFonts w:hint="eastAsia" w:ascii="宋体" w:hAnsi="宋体" w:eastAsia="宋体" w:cs="宋体"/>
          <w:color w:val="auto"/>
          <w:sz w:val="24"/>
          <w:szCs w:val="24"/>
          <w:lang w:eastAsia="zh-CN"/>
        </w:rPr>
        <w:t>不得再以产品质量不合格、指标超标等为由，向</w:t>
      </w:r>
      <w:r>
        <w:rPr>
          <w:rFonts w:hint="eastAsia" w:ascii="宋体" w:hAnsi="宋体" w:cs="宋体"/>
          <w:color w:val="auto"/>
          <w:sz w:val="24"/>
          <w:szCs w:val="24"/>
          <w:lang w:eastAsia="zh-CN"/>
        </w:rPr>
        <w:t>我司</w:t>
      </w:r>
      <w:r>
        <w:rPr>
          <w:rFonts w:hint="eastAsia" w:ascii="宋体" w:hAnsi="宋体" w:eastAsia="宋体" w:cs="宋体"/>
          <w:color w:val="auto"/>
          <w:sz w:val="24"/>
          <w:szCs w:val="24"/>
          <w:lang w:eastAsia="zh-CN"/>
        </w:rPr>
        <w:t>提出退货、换货、扣款及索赔等一切诉求。</w:t>
      </w:r>
    </w:p>
    <w:p w14:paraId="51D39FF9">
      <w:pPr>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eastAsia="zh-CN"/>
        </w:rPr>
        <w:t>五</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竞价</w:t>
      </w:r>
      <w:r>
        <w:rPr>
          <w:rFonts w:hint="eastAsia" w:ascii="宋体" w:hAnsi="宋体" w:eastAsia="宋体" w:cs="宋体"/>
          <w:color w:val="auto"/>
          <w:sz w:val="24"/>
          <w:szCs w:val="24"/>
        </w:rPr>
        <w:t>的公司应具有履行合同的能力，</w:t>
      </w:r>
      <w:r>
        <w:rPr>
          <w:rFonts w:hint="eastAsia" w:ascii="宋体" w:hAnsi="宋体" w:eastAsia="宋体" w:cs="宋体"/>
          <w:color w:val="auto"/>
          <w:sz w:val="24"/>
          <w:szCs w:val="24"/>
          <w:lang w:val="en-US" w:eastAsia="zh-CN"/>
        </w:rPr>
        <w:t>必须</w:t>
      </w:r>
      <w:r>
        <w:rPr>
          <w:rFonts w:hint="eastAsia" w:ascii="宋体" w:hAnsi="宋体" w:eastAsia="宋体" w:cs="宋体"/>
          <w:color w:val="auto"/>
          <w:sz w:val="24"/>
          <w:szCs w:val="24"/>
        </w:rPr>
        <w:t>符合下列所有条件：</w:t>
      </w:r>
    </w:p>
    <w:p w14:paraId="5931346B">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、具有良好的银行资信和商业信誉，没有处于被责令停业，财产被接管或冻结、破产状态,未被巨化集团</w:t>
      </w:r>
      <w:r>
        <w:rPr>
          <w:rFonts w:hint="eastAsia" w:ascii="宋体" w:hAnsi="宋体" w:eastAsia="宋体" w:cs="宋体"/>
          <w:color w:val="auto"/>
          <w:sz w:val="24"/>
          <w:szCs w:val="24"/>
          <w:lang w:val="en-US" w:eastAsia="zh-CN"/>
        </w:rPr>
        <w:t>有限</w:t>
      </w:r>
      <w:r>
        <w:rPr>
          <w:rFonts w:hint="eastAsia" w:ascii="宋体" w:hAnsi="宋体" w:eastAsia="宋体" w:cs="宋体"/>
          <w:color w:val="auto"/>
          <w:sz w:val="24"/>
          <w:szCs w:val="24"/>
        </w:rPr>
        <w:t>公司列入业务禁入名单的企业</w:t>
      </w:r>
      <w:r>
        <w:rPr>
          <w:rFonts w:hint="eastAsia" w:ascii="宋体" w:hAnsi="宋体" w:eastAsia="宋体" w:cs="宋体"/>
          <w:color w:val="auto"/>
          <w:sz w:val="24"/>
          <w:szCs w:val="24"/>
          <w:lang w:eastAsia="zh-CN"/>
        </w:rPr>
        <w:t>。</w:t>
      </w:r>
    </w:p>
    <w:p w14:paraId="1B18FD86">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、有</w:t>
      </w:r>
      <w:r>
        <w:rPr>
          <w:rFonts w:hint="eastAsia" w:ascii="宋体" w:hAnsi="宋体" w:cs="宋体"/>
          <w:color w:val="auto"/>
          <w:sz w:val="24"/>
          <w:szCs w:val="24"/>
          <w:lang w:val="en-US" w:eastAsia="zh-CN"/>
        </w:rPr>
        <w:t>固体己内酰胺（等外品）实际需求</w:t>
      </w:r>
      <w:r>
        <w:rPr>
          <w:rFonts w:hint="eastAsia" w:ascii="宋体" w:hAnsi="宋体" w:eastAsia="宋体" w:cs="宋体"/>
          <w:color w:val="auto"/>
          <w:sz w:val="24"/>
          <w:szCs w:val="24"/>
          <w:lang w:val="en-US" w:eastAsia="zh-CN"/>
        </w:rPr>
        <w:t>的厂家和经销商，</w:t>
      </w:r>
      <w:r>
        <w:rPr>
          <w:rFonts w:hint="eastAsia" w:ascii="宋体" w:hAnsi="宋体" w:eastAsia="宋体" w:cs="宋体"/>
          <w:color w:val="auto"/>
          <w:sz w:val="24"/>
          <w:szCs w:val="24"/>
        </w:rPr>
        <w:t>具备独立法人资格，提供完整的企业营业执照</w:t>
      </w:r>
      <w:r>
        <w:rPr>
          <w:rFonts w:hint="eastAsia" w:ascii="宋体" w:hAnsi="宋体" w:eastAsia="宋体" w:cs="宋体"/>
          <w:color w:val="auto"/>
          <w:sz w:val="24"/>
          <w:szCs w:val="24"/>
          <w:lang w:eastAsia="zh-CN"/>
        </w:rPr>
        <w:t>。</w:t>
      </w:r>
    </w:p>
    <w:p w14:paraId="2E06FE94">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本次竞价不接受联合体竞价。</w:t>
      </w:r>
    </w:p>
    <w:p w14:paraId="1E2673FE">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4、资质满足要求，资料审核通过，方可参加竞价。</w:t>
      </w:r>
    </w:p>
    <w:p w14:paraId="5A1BDD23">
      <w:pPr>
        <w:spacing w:line="360" w:lineRule="auto"/>
        <w:ind w:firstLine="480" w:firstLineChars="200"/>
        <w:rPr>
          <w:rFonts w:ascii="宋体" w:hAnsi="宋体" w:eastAsia="宋体" w:cs="宋体"/>
          <w:color w:val="auto"/>
          <w:sz w:val="24"/>
          <w:szCs w:val="24"/>
          <w:lang w:val="en-US" w:eastAsia="zh-CN"/>
        </w:rPr>
      </w:pPr>
      <w:r>
        <w:rPr>
          <w:rFonts w:hint="eastAsia" w:ascii="宋体" w:hAnsi="宋体" w:cs="宋体"/>
          <w:color w:val="auto"/>
          <w:sz w:val="24"/>
          <w:szCs w:val="24"/>
          <w:lang w:eastAsia="zh-CN"/>
        </w:rPr>
        <w:t>六</w:t>
      </w:r>
      <w:r>
        <w:rPr>
          <w:rFonts w:hint="eastAsia" w:ascii="宋体" w:hAnsi="宋体" w:eastAsia="宋体" w:cs="宋体"/>
          <w:color w:val="auto"/>
          <w:sz w:val="24"/>
          <w:szCs w:val="24"/>
        </w:rPr>
        <w:t>、报名方式、时间：凡符合上述资格条件并对本项目</w:t>
      </w:r>
      <w:r>
        <w:rPr>
          <w:rFonts w:hint="eastAsia" w:ascii="宋体" w:hAnsi="宋体" w:eastAsia="宋体" w:cs="宋体"/>
          <w:color w:val="auto"/>
          <w:sz w:val="24"/>
          <w:szCs w:val="24"/>
          <w:lang w:val="en-US" w:eastAsia="zh-CN"/>
        </w:rPr>
        <w:t>有意向</w:t>
      </w:r>
      <w:r>
        <w:rPr>
          <w:rFonts w:hint="eastAsia" w:ascii="宋体" w:hAnsi="宋体" w:eastAsia="宋体" w:cs="宋体"/>
          <w:color w:val="auto"/>
          <w:sz w:val="24"/>
          <w:szCs w:val="24"/>
        </w:rPr>
        <w:t>的独立法人</w:t>
      </w:r>
      <w:r>
        <w:rPr>
          <w:rFonts w:hint="eastAsia" w:ascii="宋体" w:hAnsi="宋体" w:eastAsia="宋体" w:cs="宋体"/>
          <w:color w:val="auto"/>
          <w:sz w:val="24"/>
          <w:szCs w:val="24"/>
          <w:lang w:val="en-US" w:eastAsia="zh-CN"/>
        </w:rPr>
        <w:t>单位</w:t>
      </w:r>
      <w:r>
        <w:rPr>
          <w:rFonts w:hint="eastAsia" w:ascii="宋体" w:hAnsi="宋体" w:eastAsia="宋体" w:cs="宋体"/>
          <w:color w:val="auto"/>
          <w:sz w:val="24"/>
          <w:szCs w:val="24"/>
        </w:rPr>
        <w:t>，自公告之日起至开标之前在“</w:t>
      </w:r>
      <w:r>
        <w:rPr>
          <w:rFonts w:hint="eastAsia" w:ascii="宋体" w:hAnsi="宋体" w:eastAsia="宋体" w:cs="宋体"/>
          <w:color w:val="auto"/>
          <w:sz w:val="24"/>
          <w:szCs w:val="24"/>
          <w:lang w:val="en-US" w:eastAsia="zh-CN"/>
        </w:rPr>
        <w:t>巨化数字商城</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（www.jh1958.com）</w:t>
      </w:r>
      <w:r>
        <w:rPr>
          <w:rFonts w:hint="eastAsia" w:ascii="宋体" w:hAnsi="宋体" w:eastAsia="宋体" w:cs="宋体"/>
          <w:color w:val="auto"/>
          <w:sz w:val="24"/>
          <w:szCs w:val="24"/>
        </w:rPr>
        <w:t>上注册、认证</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并将资</w:t>
      </w:r>
      <w:r>
        <w:rPr>
          <w:rFonts w:hint="eastAsia" w:ascii="宋体" w:hAnsi="宋体" w:cs="宋体"/>
          <w:color w:val="auto"/>
          <w:sz w:val="24"/>
          <w:szCs w:val="24"/>
          <w:highlight w:val="none"/>
          <w:lang w:val="en-US" w:eastAsia="zh-CN"/>
        </w:rPr>
        <w:t>料提</w:t>
      </w:r>
      <w:r>
        <w:rPr>
          <w:rFonts w:hint="eastAsia" w:ascii="宋体" w:hAnsi="宋体" w:cs="宋体"/>
          <w:color w:val="000000" w:themeColor="text1"/>
          <w:sz w:val="24"/>
          <w:szCs w:val="24"/>
          <w:highlight w:val="none"/>
          <w:lang w:val="en-US" w:eastAsia="zh-CN"/>
          <w14:textFill>
            <w14:solidFill>
              <w14:schemeClr w14:val="tx1"/>
            </w14:solidFill>
          </w14:textFill>
        </w:rPr>
        <w:t>供锦纶公司吴民杰处</w:t>
      </w:r>
      <w:r>
        <w:rPr>
          <w:rFonts w:hint="eastAsia" w:ascii="宋体" w:hAnsi="宋体" w:cs="宋体"/>
          <w:color w:val="auto"/>
          <w:sz w:val="24"/>
          <w:szCs w:val="24"/>
          <w:lang w:val="en-US" w:eastAsia="zh-CN"/>
        </w:rPr>
        <w:t>。经资质审核通过后，方可参加竞价。</w:t>
      </w:r>
    </w:p>
    <w:p w14:paraId="752F7B1A">
      <w:pPr>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eastAsia="zh-CN"/>
        </w:rPr>
        <w:t>七</w:t>
      </w:r>
      <w:r>
        <w:rPr>
          <w:rFonts w:hint="eastAsia" w:ascii="宋体" w:hAnsi="宋体" w:eastAsia="宋体" w:cs="宋体"/>
          <w:color w:val="auto"/>
          <w:sz w:val="24"/>
          <w:szCs w:val="24"/>
        </w:rPr>
        <w:t>、报名时所需提供的证件及资料：</w:t>
      </w:r>
    </w:p>
    <w:p w14:paraId="57516516">
      <w:pPr>
        <w:spacing w:line="360" w:lineRule="auto"/>
        <w:ind w:firstLine="480" w:firstLineChars="200"/>
        <w:rPr>
          <w:rFonts w:hint="eastAsia" w:ascii="宋体" w:hAnsi="宋体" w:eastAsia="宋体" w:cs="宋体"/>
          <w:color w:val="auto"/>
          <w:sz w:val="24"/>
          <w:szCs w:val="24"/>
          <w:lang w:eastAsia="zh-CN"/>
        </w:rPr>
      </w:pPr>
      <w:bookmarkStart w:id="0" w:name="OLE_LINK1"/>
      <w:r>
        <w:rPr>
          <w:rFonts w:hint="eastAsia" w:ascii="宋体" w:hAnsi="宋体" w:eastAsia="宋体" w:cs="宋体"/>
          <w:color w:val="auto"/>
          <w:sz w:val="24"/>
          <w:szCs w:val="24"/>
        </w:rPr>
        <w:t>营业执照</w:t>
      </w:r>
      <w:r>
        <w:rPr>
          <w:rFonts w:hint="eastAsia" w:ascii="宋体" w:hAnsi="宋体" w:cs="宋体"/>
          <w:color w:val="auto"/>
          <w:sz w:val="24"/>
          <w:szCs w:val="24"/>
          <w:lang w:val="en-US" w:eastAsia="zh-CN"/>
        </w:rPr>
        <w:t>，需加盖公司公章电子版或纸质版提交</w:t>
      </w:r>
      <w:r>
        <w:rPr>
          <w:rFonts w:hint="eastAsia" w:ascii="宋体" w:hAnsi="宋体" w:eastAsia="宋体" w:cs="宋体"/>
          <w:color w:val="auto"/>
          <w:sz w:val="24"/>
          <w:szCs w:val="24"/>
          <w:lang w:eastAsia="zh-CN"/>
        </w:rPr>
        <w:t>。</w:t>
      </w:r>
      <w:bookmarkEnd w:id="0"/>
    </w:p>
    <w:p w14:paraId="0C51100A">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八</w:t>
      </w:r>
      <w:r>
        <w:rPr>
          <w:rFonts w:hint="eastAsia" w:ascii="宋体" w:hAnsi="宋体" w:eastAsia="宋体" w:cs="宋体"/>
          <w:color w:val="auto"/>
          <w:sz w:val="24"/>
          <w:szCs w:val="24"/>
          <w:lang w:val="en-US" w:eastAsia="zh-CN"/>
        </w:rPr>
        <w:t>、竞价销售流程说明</w:t>
      </w:r>
    </w:p>
    <w:p w14:paraId="07930BDA">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参加竞价的公司须在“巨化数字商城”（www.jh1958.com）公告的规定时间内进行报价，</w:t>
      </w:r>
      <w:r>
        <w:rPr>
          <w:rFonts w:hint="eastAsia" w:ascii="宋体" w:hAnsi="宋体" w:cs="宋体"/>
          <w:color w:val="auto"/>
          <w:sz w:val="24"/>
          <w:szCs w:val="24"/>
          <w:lang w:val="en-US" w:eastAsia="zh-CN"/>
        </w:rPr>
        <w:t>期间</w:t>
      </w:r>
      <w:r>
        <w:rPr>
          <w:rFonts w:hint="eastAsia" w:ascii="宋体" w:hAnsi="宋体" w:eastAsia="宋体" w:cs="宋体"/>
          <w:color w:val="auto"/>
          <w:sz w:val="24"/>
          <w:szCs w:val="24"/>
          <w:lang w:val="en-US" w:eastAsia="zh-CN"/>
        </w:rPr>
        <w:t>可以多次报价直至竞价结束，但以最后一次报价为准。报价以元为单位，数值精确到元。本次竞价设有最低限价，低于最低限价的报价为无效报价。</w:t>
      </w:r>
    </w:p>
    <w:p w14:paraId="3658DCCD">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九</w:t>
      </w:r>
      <w:r>
        <w:rPr>
          <w:rFonts w:hint="eastAsia" w:ascii="宋体" w:hAnsi="宋体" w:eastAsia="宋体" w:cs="宋体"/>
          <w:color w:val="auto"/>
          <w:sz w:val="24"/>
          <w:szCs w:val="24"/>
          <w:lang w:val="en-US" w:eastAsia="zh-CN"/>
        </w:rPr>
        <w:t>、中标结果由锦纶公司业务人员通知报价单位。</w:t>
      </w:r>
    </w:p>
    <w:p w14:paraId="3DBF2308">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十</w:t>
      </w:r>
      <w:r>
        <w:rPr>
          <w:rFonts w:hint="eastAsia" w:ascii="宋体" w:hAnsi="宋体" w:eastAsia="宋体" w:cs="宋体"/>
          <w:color w:val="auto"/>
          <w:sz w:val="24"/>
          <w:szCs w:val="24"/>
          <w:lang w:val="en-US" w:eastAsia="zh-CN"/>
        </w:rPr>
        <w:t>、本次竞价销售结束后，中标商需与锦纶公司签订书面合同。中标商无正当理由拒签合同的，锦纶公司取消其中标资格，并列入锦纶公司业务禁入名单，禁入期限为一年。</w:t>
      </w:r>
    </w:p>
    <w:p w14:paraId="1DAD8B46">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十一</w:t>
      </w:r>
      <w:r>
        <w:rPr>
          <w:rFonts w:hint="eastAsia" w:ascii="宋体" w:hAnsi="宋体" w:eastAsia="宋体" w:cs="宋体"/>
          <w:color w:val="auto"/>
          <w:sz w:val="24"/>
          <w:szCs w:val="24"/>
          <w:lang w:val="en-US" w:eastAsia="zh-CN"/>
        </w:rPr>
        <w:t>、竞价业务联系单位：锦纶公司综合经营部   联系人：</w:t>
      </w:r>
      <w:r>
        <w:rPr>
          <w:rFonts w:hint="eastAsia" w:ascii="宋体" w:hAnsi="宋体" w:cs="宋体"/>
          <w:color w:val="auto"/>
          <w:sz w:val="24"/>
          <w:szCs w:val="24"/>
          <w:lang w:val="en-US" w:eastAsia="zh-CN"/>
        </w:rPr>
        <w:t>吴民杰</w:t>
      </w:r>
      <w:r>
        <w:rPr>
          <w:rFonts w:hint="eastAsia" w:ascii="宋体" w:hAnsi="宋体" w:eastAsia="宋体" w:cs="宋体"/>
          <w:color w:val="auto"/>
          <w:sz w:val="24"/>
          <w:szCs w:val="24"/>
          <w:lang w:val="en-US" w:eastAsia="zh-CN"/>
        </w:rPr>
        <w:t xml:space="preserve">  联系电话：</w:t>
      </w:r>
      <w:r>
        <w:rPr>
          <w:rFonts w:hint="eastAsia" w:ascii="宋体" w:hAnsi="宋体" w:cs="宋体"/>
          <w:color w:val="auto"/>
          <w:sz w:val="24"/>
          <w:szCs w:val="24"/>
          <w:lang w:val="en-US" w:eastAsia="zh-CN"/>
        </w:rPr>
        <w:t>15215723971</w:t>
      </w:r>
      <w:r>
        <w:rPr>
          <w:rFonts w:hint="eastAsia" w:ascii="宋体" w:hAnsi="宋体" w:eastAsia="宋体" w:cs="宋体"/>
          <w:color w:val="auto"/>
          <w:sz w:val="24"/>
          <w:szCs w:val="24"/>
          <w:lang w:val="en-US" w:eastAsia="zh-CN"/>
        </w:rPr>
        <w:t xml:space="preserve">  </w:t>
      </w:r>
    </w:p>
    <w:p w14:paraId="427D3C97">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w:t>
      </w:r>
      <w:r>
        <w:rPr>
          <w:rFonts w:hint="eastAsia" w:ascii="宋体" w:hAnsi="宋体" w:cs="宋体"/>
          <w:color w:val="auto"/>
          <w:sz w:val="24"/>
          <w:szCs w:val="24"/>
          <w:lang w:val="en-US" w:eastAsia="zh-CN"/>
        </w:rPr>
        <w:t>二</w:t>
      </w:r>
      <w:r>
        <w:rPr>
          <w:rFonts w:hint="eastAsia" w:ascii="宋体" w:hAnsi="宋体" w:eastAsia="宋体" w:cs="宋体"/>
          <w:color w:val="auto"/>
          <w:sz w:val="24"/>
          <w:szCs w:val="24"/>
          <w:lang w:val="en-US" w:eastAsia="zh-CN"/>
        </w:rPr>
        <w:t>、竞价时间：凡符合资格条件并有意参加竞价的独立法人或委托代理人请于</w:t>
      </w:r>
      <w:r>
        <w:rPr>
          <w:rFonts w:hint="eastAsia" w:ascii="宋体" w:hAnsi="宋体" w:eastAsia="宋体" w:cs="宋体"/>
          <w:b/>
          <w:bCs/>
          <w:color w:val="auto"/>
          <w:sz w:val="24"/>
          <w:szCs w:val="24"/>
          <w:lang w:val="en-US" w:eastAsia="zh-CN"/>
        </w:rPr>
        <w:t>202</w:t>
      </w:r>
      <w:r>
        <w:rPr>
          <w:rFonts w:hint="eastAsia" w:ascii="宋体" w:hAnsi="宋体" w:cs="宋体"/>
          <w:b/>
          <w:bCs/>
          <w:color w:val="auto"/>
          <w:sz w:val="24"/>
          <w:szCs w:val="24"/>
          <w:lang w:val="en-US" w:eastAsia="zh-CN"/>
        </w:rPr>
        <w:t>6</w:t>
      </w:r>
      <w:r>
        <w:rPr>
          <w:rFonts w:hint="eastAsia" w:ascii="宋体" w:hAnsi="宋体" w:eastAsia="宋体" w:cs="宋体"/>
          <w:b/>
          <w:bCs/>
          <w:color w:val="auto"/>
          <w:sz w:val="24"/>
          <w:szCs w:val="24"/>
          <w:lang w:val="en-US" w:eastAsia="zh-CN"/>
        </w:rPr>
        <w:t>年</w:t>
      </w:r>
      <w:r>
        <w:rPr>
          <w:rFonts w:hint="eastAsia" w:ascii="宋体" w:hAnsi="宋体" w:cs="宋体"/>
          <w:b/>
          <w:bCs/>
          <w:color w:val="auto"/>
          <w:sz w:val="24"/>
          <w:szCs w:val="24"/>
          <w:lang w:val="en-US" w:eastAsia="zh-CN"/>
        </w:rPr>
        <w:t>05</w:t>
      </w:r>
      <w:r>
        <w:rPr>
          <w:rFonts w:hint="eastAsia" w:ascii="宋体" w:hAnsi="宋体" w:eastAsia="宋体" w:cs="宋体"/>
          <w:b/>
          <w:bCs/>
          <w:color w:val="auto"/>
          <w:sz w:val="24"/>
          <w:szCs w:val="24"/>
          <w:lang w:val="en-US" w:eastAsia="zh-CN"/>
        </w:rPr>
        <w:t>月</w:t>
      </w:r>
      <w:r>
        <w:rPr>
          <w:rFonts w:hint="eastAsia" w:ascii="宋体" w:hAnsi="宋体" w:cs="宋体"/>
          <w:b/>
          <w:bCs/>
          <w:color w:val="auto"/>
          <w:sz w:val="24"/>
          <w:szCs w:val="24"/>
          <w:lang w:val="en-US" w:eastAsia="zh-CN"/>
        </w:rPr>
        <w:t>21</w:t>
      </w:r>
      <w:r>
        <w:rPr>
          <w:rFonts w:hint="eastAsia" w:ascii="宋体" w:hAnsi="宋体" w:eastAsia="宋体" w:cs="宋体"/>
          <w:b/>
          <w:bCs/>
          <w:color w:val="auto"/>
          <w:sz w:val="24"/>
          <w:szCs w:val="24"/>
          <w:lang w:val="en-US" w:eastAsia="zh-CN"/>
        </w:rPr>
        <w:t>日</w:t>
      </w:r>
      <w:r>
        <w:rPr>
          <w:rFonts w:hint="eastAsia" w:ascii="宋体" w:hAnsi="宋体" w:cs="宋体"/>
          <w:b/>
          <w:bCs/>
          <w:color w:val="auto"/>
          <w:sz w:val="24"/>
          <w:szCs w:val="24"/>
          <w:lang w:val="en-US" w:eastAsia="zh-CN"/>
        </w:rPr>
        <w:t>15时0</w:t>
      </w:r>
      <w:bookmarkStart w:id="1" w:name="_GoBack"/>
      <w:bookmarkEnd w:id="1"/>
      <w:r>
        <w:rPr>
          <w:rFonts w:hint="eastAsia" w:ascii="宋体" w:hAnsi="宋体" w:cs="宋体"/>
          <w:b/>
          <w:bCs/>
          <w:color w:val="auto"/>
          <w:sz w:val="24"/>
          <w:szCs w:val="24"/>
          <w:lang w:val="en-US" w:eastAsia="zh-CN"/>
        </w:rPr>
        <w:t>0分</w:t>
      </w:r>
      <w:r>
        <w:rPr>
          <w:rFonts w:hint="eastAsia" w:ascii="宋体" w:hAnsi="宋体" w:eastAsia="宋体" w:cs="宋体"/>
          <w:b/>
          <w:bCs/>
          <w:color w:val="auto"/>
          <w:sz w:val="24"/>
          <w:szCs w:val="24"/>
          <w:lang w:val="en-US" w:eastAsia="zh-CN"/>
        </w:rPr>
        <w:t>至20</w:t>
      </w:r>
      <w:r>
        <w:rPr>
          <w:rFonts w:hint="eastAsia" w:ascii="宋体" w:hAnsi="宋体" w:cs="宋体"/>
          <w:b/>
          <w:bCs/>
          <w:color w:val="auto"/>
          <w:sz w:val="24"/>
          <w:szCs w:val="24"/>
          <w:lang w:val="en-US" w:eastAsia="zh-CN"/>
        </w:rPr>
        <w:t>26</w:t>
      </w:r>
      <w:r>
        <w:rPr>
          <w:rFonts w:hint="eastAsia" w:ascii="宋体" w:hAnsi="宋体" w:eastAsia="宋体" w:cs="宋体"/>
          <w:b/>
          <w:bCs/>
          <w:color w:val="auto"/>
          <w:sz w:val="24"/>
          <w:szCs w:val="24"/>
          <w:lang w:val="en-US" w:eastAsia="zh-CN"/>
        </w:rPr>
        <w:t>年</w:t>
      </w:r>
      <w:r>
        <w:rPr>
          <w:rFonts w:hint="eastAsia" w:ascii="宋体" w:hAnsi="宋体" w:cs="宋体"/>
          <w:b/>
          <w:bCs/>
          <w:color w:val="auto"/>
          <w:sz w:val="24"/>
          <w:szCs w:val="24"/>
          <w:lang w:val="en-US" w:eastAsia="zh-CN"/>
        </w:rPr>
        <w:t>05</w:t>
      </w:r>
      <w:r>
        <w:rPr>
          <w:rFonts w:hint="eastAsia" w:ascii="宋体" w:hAnsi="宋体" w:eastAsia="宋体" w:cs="宋体"/>
          <w:b/>
          <w:bCs/>
          <w:color w:val="auto"/>
          <w:sz w:val="24"/>
          <w:szCs w:val="24"/>
          <w:lang w:val="en-US" w:eastAsia="zh-CN"/>
        </w:rPr>
        <w:t>月</w:t>
      </w:r>
      <w:r>
        <w:rPr>
          <w:rFonts w:hint="eastAsia" w:ascii="宋体" w:hAnsi="宋体" w:cs="宋体"/>
          <w:b/>
          <w:bCs/>
          <w:color w:val="auto"/>
          <w:sz w:val="24"/>
          <w:szCs w:val="24"/>
          <w:lang w:val="en-US" w:eastAsia="zh-CN"/>
        </w:rPr>
        <w:t>21</w:t>
      </w:r>
      <w:r>
        <w:rPr>
          <w:rFonts w:hint="eastAsia" w:ascii="宋体" w:hAnsi="宋体" w:eastAsia="宋体" w:cs="宋体"/>
          <w:b/>
          <w:bCs/>
          <w:color w:val="auto"/>
          <w:sz w:val="24"/>
          <w:szCs w:val="24"/>
          <w:lang w:val="en-US" w:eastAsia="zh-CN"/>
        </w:rPr>
        <w:t>日</w:t>
      </w:r>
      <w:r>
        <w:rPr>
          <w:rFonts w:hint="eastAsia" w:ascii="宋体" w:hAnsi="宋体" w:cs="宋体"/>
          <w:b/>
          <w:bCs/>
          <w:color w:val="auto"/>
          <w:sz w:val="24"/>
          <w:szCs w:val="24"/>
          <w:lang w:val="en-US" w:eastAsia="zh-CN"/>
        </w:rPr>
        <w:t>16时00分</w:t>
      </w:r>
      <w:r>
        <w:rPr>
          <w:rFonts w:hint="eastAsia" w:ascii="宋体" w:hAnsi="宋体" w:eastAsia="宋体" w:cs="宋体"/>
          <w:color w:val="auto"/>
          <w:sz w:val="24"/>
          <w:szCs w:val="24"/>
          <w:lang w:val="en-US" w:eastAsia="zh-CN"/>
        </w:rPr>
        <w:t>到巨化数字商城竞价销售频道参与竞价。</w:t>
      </w:r>
    </w:p>
    <w:p w14:paraId="7827003A">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w:t>
      </w:r>
      <w:r>
        <w:rPr>
          <w:rFonts w:hint="eastAsia" w:ascii="宋体" w:hAnsi="宋体" w:cs="宋体"/>
          <w:color w:val="auto"/>
          <w:sz w:val="24"/>
          <w:szCs w:val="24"/>
          <w:lang w:val="en-US" w:eastAsia="zh-CN"/>
        </w:rPr>
        <w:t>二</w:t>
      </w:r>
      <w:r>
        <w:rPr>
          <w:rFonts w:hint="eastAsia" w:ascii="宋体" w:hAnsi="宋体" w:eastAsia="宋体" w:cs="宋体"/>
          <w:color w:val="auto"/>
          <w:sz w:val="24"/>
          <w:szCs w:val="24"/>
          <w:lang w:val="en-US" w:eastAsia="zh-CN"/>
        </w:rPr>
        <w:t>、合同履约金收款账户：</w:t>
      </w:r>
    </w:p>
    <w:p w14:paraId="266FFD80">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公司名称：</w:t>
      </w:r>
      <w:r>
        <w:rPr>
          <w:rFonts w:hint="eastAsia" w:ascii="宋体" w:hAnsi="宋体" w:cs="宋体"/>
          <w:color w:val="auto"/>
          <w:sz w:val="24"/>
          <w:szCs w:val="24"/>
          <w:lang w:val="en-US" w:eastAsia="zh-CN"/>
        </w:rPr>
        <w:t>衢州巨化锦纶有限责任公司</w:t>
      </w:r>
    </w:p>
    <w:p w14:paraId="55B65236">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开户银行：</w:t>
      </w:r>
      <w:r>
        <w:rPr>
          <w:rFonts w:hint="eastAsia"/>
          <w:szCs w:val="21"/>
        </w:rPr>
        <w:t>建设银行衢化支行</w:t>
      </w:r>
    </w:p>
    <w:p w14:paraId="2199EA3F">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帐号:33001685200050002811</w:t>
      </w:r>
    </w:p>
    <w:p w14:paraId="1501073E">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地址、电话：浙江省衢州市巨化</w:t>
      </w:r>
      <w:r>
        <w:rPr>
          <w:rFonts w:hint="eastAsia" w:ascii="宋体" w:hAnsi="宋体" w:cs="宋体"/>
          <w:color w:val="auto"/>
          <w:sz w:val="24"/>
          <w:szCs w:val="24"/>
          <w:lang w:val="en-US" w:eastAsia="zh-CN"/>
        </w:rPr>
        <w:t>北二道56号</w:t>
      </w:r>
      <w:r>
        <w:rPr>
          <w:rFonts w:hint="eastAsia" w:ascii="宋体" w:hAnsi="宋体" w:eastAsia="宋体" w:cs="宋体"/>
          <w:color w:val="auto"/>
          <w:sz w:val="24"/>
          <w:szCs w:val="24"/>
          <w:lang w:val="en-US" w:eastAsia="zh-CN"/>
        </w:rPr>
        <w:t xml:space="preserve"> 0570-309</w:t>
      </w:r>
      <w:r>
        <w:rPr>
          <w:rFonts w:hint="eastAsia" w:ascii="宋体" w:hAnsi="宋体" w:cs="宋体"/>
          <w:color w:val="auto"/>
          <w:sz w:val="24"/>
          <w:szCs w:val="24"/>
          <w:lang w:val="en-US" w:eastAsia="zh-CN"/>
        </w:rPr>
        <w:t>7349</w:t>
      </w:r>
    </w:p>
    <w:p w14:paraId="79DFBEC3">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公司投诉电话：</w:t>
      </w:r>
      <w:r>
        <w:rPr>
          <w:rFonts w:hint="eastAsia" w:ascii="宋体" w:hAnsi="宋体" w:eastAsia="宋体" w:cs="宋体"/>
          <w:b/>
          <w:bCs/>
          <w:color w:val="auto"/>
          <w:sz w:val="24"/>
          <w:szCs w:val="24"/>
          <w:lang w:val="en-US" w:eastAsia="zh-CN"/>
        </w:rPr>
        <w:t>0570-3</w:t>
      </w:r>
      <w:r>
        <w:rPr>
          <w:rFonts w:hint="eastAsia" w:ascii="宋体" w:hAnsi="宋体" w:cs="宋体"/>
          <w:b/>
          <w:bCs/>
          <w:color w:val="auto"/>
          <w:sz w:val="24"/>
          <w:szCs w:val="24"/>
          <w:lang w:val="en-US" w:eastAsia="zh-CN"/>
        </w:rPr>
        <w:t>614896</w:t>
      </w:r>
      <w:r>
        <w:rPr>
          <w:rFonts w:hint="eastAsia" w:ascii="宋体" w:hAnsi="宋体" w:eastAsia="宋体" w:cs="宋体"/>
          <w:color w:val="auto"/>
          <w:sz w:val="24"/>
          <w:szCs w:val="24"/>
          <w:lang w:val="en-US" w:eastAsia="zh-CN"/>
        </w:rPr>
        <w:t xml:space="preserve">   </w:t>
      </w:r>
    </w:p>
    <w:p w14:paraId="11EC4F49">
      <w:pPr>
        <w:spacing w:line="360"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十三：销售合同模版及质检报告见文末附件</w:t>
      </w:r>
    </w:p>
    <w:p w14:paraId="239E4CD4">
      <w:pPr>
        <w:widowControl/>
        <w:rPr>
          <w:rFonts w:hint="eastAsia" w:ascii="宋体" w:hAnsi="宋体" w:eastAsia="宋体" w:cs="宋体"/>
          <w:color w:val="auto"/>
          <w:sz w:val="24"/>
          <w:szCs w:val="24"/>
        </w:rPr>
      </w:pPr>
    </w:p>
    <w:p w14:paraId="271D5103">
      <w:pPr>
        <w:widowControl/>
        <w:ind w:firstLine="5040" w:firstLineChars="21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衢州巨化锦纶有限责任公司</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p>
    <w:p w14:paraId="6727CA15">
      <w:pPr>
        <w:widowControl/>
        <w:ind w:firstLine="6000" w:firstLineChars="2500"/>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05</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21</w:t>
      </w:r>
      <w:r>
        <w:rPr>
          <w:rFonts w:hint="eastAsia" w:ascii="宋体" w:hAnsi="宋体" w:eastAsia="宋体" w:cs="宋体"/>
          <w:color w:val="auto"/>
          <w:sz w:val="24"/>
          <w:szCs w:val="24"/>
        </w:rPr>
        <w:t>日</w:t>
      </w:r>
    </w:p>
    <w:p w14:paraId="0F55B811">
      <w:pPr>
        <w:widowControl/>
        <w:ind w:firstLine="6000" w:firstLineChars="2500"/>
        <w:rPr>
          <w:rFonts w:hint="eastAsia" w:ascii="宋体" w:hAnsi="宋体" w:eastAsia="宋体" w:cs="宋体"/>
          <w:color w:val="auto"/>
          <w:sz w:val="24"/>
          <w:szCs w:val="24"/>
        </w:rPr>
      </w:pPr>
    </w:p>
    <w:p w14:paraId="1E8675A7">
      <w:pPr>
        <w:widowControl/>
        <w:ind w:firstLine="6000" w:firstLineChars="2500"/>
        <w:rPr>
          <w:rFonts w:hint="eastAsia" w:ascii="宋体" w:hAnsi="宋体" w:eastAsia="宋体" w:cs="宋体"/>
          <w:color w:val="auto"/>
          <w:sz w:val="24"/>
          <w:szCs w:val="24"/>
        </w:rPr>
      </w:pPr>
    </w:p>
    <w:p w14:paraId="5B979E40">
      <w:pPr>
        <w:widowControl/>
        <w:ind w:firstLine="6000" w:firstLineChars="2500"/>
        <w:rPr>
          <w:rFonts w:hint="eastAsia" w:ascii="宋体" w:hAnsi="宋体" w:eastAsia="宋体" w:cs="宋体"/>
          <w:color w:val="auto"/>
          <w:sz w:val="24"/>
          <w:szCs w:val="24"/>
        </w:rPr>
      </w:pPr>
    </w:p>
    <w:p w14:paraId="544C6AC0">
      <w:pPr>
        <w:widowControl/>
        <w:ind w:firstLine="6000" w:firstLineChars="2500"/>
        <w:rPr>
          <w:rFonts w:hint="eastAsia" w:ascii="宋体" w:hAnsi="宋体" w:eastAsia="宋体" w:cs="宋体"/>
          <w:color w:val="auto"/>
          <w:sz w:val="24"/>
          <w:szCs w:val="24"/>
        </w:rPr>
      </w:pPr>
    </w:p>
    <w:p w14:paraId="2EC75180">
      <w:pPr>
        <w:widowControl/>
        <w:ind w:firstLine="6000" w:firstLineChars="2500"/>
        <w:rPr>
          <w:rFonts w:hint="eastAsia" w:ascii="宋体" w:hAnsi="宋体" w:eastAsia="宋体" w:cs="宋体"/>
          <w:color w:val="auto"/>
          <w:sz w:val="24"/>
          <w:szCs w:val="24"/>
        </w:rPr>
      </w:pPr>
    </w:p>
    <w:p w14:paraId="42070D48">
      <w:pPr>
        <w:widowControl/>
        <w:ind w:firstLine="6000" w:firstLineChars="2500"/>
        <w:rPr>
          <w:rFonts w:hint="eastAsia" w:ascii="宋体" w:hAnsi="宋体" w:eastAsia="宋体" w:cs="宋体"/>
          <w:color w:val="auto"/>
          <w:sz w:val="24"/>
          <w:szCs w:val="24"/>
        </w:rPr>
      </w:pPr>
    </w:p>
    <w:p w14:paraId="34C97BC9">
      <w:pPr>
        <w:widowControl/>
        <w:ind w:firstLine="6000" w:firstLineChars="2500"/>
        <w:rPr>
          <w:rFonts w:hint="eastAsia" w:ascii="宋体" w:hAnsi="宋体" w:eastAsia="宋体" w:cs="宋体"/>
          <w:color w:val="auto"/>
          <w:sz w:val="24"/>
          <w:szCs w:val="24"/>
        </w:rPr>
      </w:pPr>
    </w:p>
    <w:p w14:paraId="47548E4E">
      <w:pPr>
        <w:widowControl/>
        <w:ind w:firstLine="6000" w:firstLineChars="2500"/>
        <w:rPr>
          <w:rFonts w:hint="eastAsia" w:ascii="宋体" w:hAnsi="宋体" w:eastAsia="宋体" w:cs="宋体"/>
          <w:color w:val="auto"/>
          <w:sz w:val="24"/>
          <w:szCs w:val="24"/>
        </w:rPr>
      </w:pPr>
    </w:p>
    <w:p w14:paraId="5D53F3B5">
      <w:pPr>
        <w:widowControl/>
        <w:ind w:firstLine="6000" w:firstLineChars="2500"/>
        <w:rPr>
          <w:rFonts w:hint="eastAsia" w:ascii="宋体" w:hAnsi="宋体" w:eastAsia="宋体" w:cs="宋体"/>
          <w:color w:val="auto"/>
          <w:sz w:val="24"/>
          <w:szCs w:val="24"/>
        </w:rPr>
      </w:pPr>
    </w:p>
    <w:p w14:paraId="26381432">
      <w:pPr>
        <w:widowControl/>
        <w:ind w:firstLine="6000" w:firstLineChars="2500"/>
        <w:rPr>
          <w:rFonts w:hint="eastAsia" w:ascii="宋体" w:hAnsi="宋体" w:eastAsia="宋体" w:cs="宋体"/>
          <w:color w:val="auto"/>
          <w:sz w:val="24"/>
          <w:szCs w:val="24"/>
        </w:rPr>
      </w:pPr>
    </w:p>
    <w:p w14:paraId="4CE07118">
      <w:pPr>
        <w:widowControl/>
        <w:ind w:firstLine="6000" w:firstLineChars="2500"/>
        <w:rPr>
          <w:rFonts w:hint="eastAsia" w:ascii="宋体" w:hAnsi="宋体" w:eastAsia="宋体" w:cs="宋体"/>
          <w:color w:val="auto"/>
          <w:sz w:val="24"/>
          <w:szCs w:val="24"/>
        </w:rPr>
      </w:pPr>
    </w:p>
    <w:p w14:paraId="0E2E0831">
      <w:pPr>
        <w:widowControl/>
        <w:ind w:firstLine="6000" w:firstLineChars="2500"/>
        <w:rPr>
          <w:rFonts w:hint="eastAsia" w:ascii="宋体" w:hAnsi="宋体" w:eastAsia="宋体" w:cs="宋体"/>
          <w:color w:val="auto"/>
          <w:sz w:val="24"/>
          <w:szCs w:val="24"/>
        </w:rPr>
      </w:pPr>
    </w:p>
    <w:p w14:paraId="44BFA42A">
      <w:pPr>
        <w:widowControl/>
        <w:ind w:firstLine="6000" w:firstLineChars="2500"/>
        <w:rPr>
          <w:rFonts w:hint="eastAsia" w:ascii="宋体" w:hAnsi="宋体" w:eastAsia="宋体" w:cs="宋体"/>
          <w:color w:val="auto"/>
          <w:sz w:val="24"/>
          <w:szCs w:val="24"/>
        </w:rPr>
      </w:pPr>
    </w:p>
    <w:p w14:paraId="320053A7">
      <w:pPr>
        <w:widowControl/>
        <w:ind w:firstLine="6000" w:firstLineChars="2500"/>
        <w:rPr>
          <w:rFonts w:hint="eastAsia" w:ascii="宋体" w:hAnsi="宋体" w:eastAsia="宋体" w:cs="宋体"/>
          <w:color w:val="auto"/>
          <w:sz w:val="24"/>
          <w:szCs w:val="24"/>
        </w:rPr>
      </w:pPr>
    </w:p>
    <w:p w14:paraId="5983B3FD">
      <w:pPr>
        <w:widowControl/>
        <w:ind w:firstLine="6000" w:firstLineChars="2500"/>
        <w:rPr>
          <w:rFonts w:hint="eastAsia" w:ascii="宋体" w:hAnsi="宋体" w:eastAsia="宋体" w:cs="宋体"/>
          <w:color w:val="auto"/>
          <w:sz w:val="24"/>
          <w:szCs w:val="24"/>
        </w:rPr>
      </w:pPr>
    </w:p>
    <w:p w14:paraId="693BB57D">
      <w:pPr>
        <w:widowControl/>
        <w:ind w:firstLine="6000" w:firstLineChars="2500"/>
        <w:rPr>
          <w:rFonts w:hint="eastAsia" w:ascii="宋体" w:hAnsi="宋体" w:eastAsia="宋体" w:cs="宋体"/>
          <w:color w:val="auto"/>
          <w:sz w:val="24"/>
          <w:szCs w:val="24"/>
        </w:rPr>
      </w:pPr>
    </w:p>
    <w:p w14:paraId="7CDB6F26">
      <w:pPr>
        <w:widowControl/>
        <w:ind w:firstLine="6000" w:firstLineChars="2500"/>
        <w:rPr>
          <w:rFonts w:hint="eastAsia" w:ascii="宋体" w:hAnsi="宋体" w:eastAsia="宋体" w:cs="宋体"/>
          <w:color w:val="auto"/>
          <w:sz w:val="24"/>
          <w:szCs w:val="24"/>
        </w:rPr>
      </w:pPr>
    </w:p>
    <w:p w14:paraId="3A32C6A8">
      <w:pPr>
        <w:widowControl/>
        <w:ind w:firstLine="6000" w:firstLineChars="2500"/>
        <w:rPr>
          <w:rFonts w:hint="eastAsia" w:ascii="宋体" w:hAnsi="宋体" w:eastAsia="宋体" w:cs="宋体"/>
          <w:color w:val="auto"/>
          <w:sz w:val="24"/>
          <w:szCs w:val="24"/>
        </w:rPr>
      </w:pPr>
    </w:p>
    <w:p w14:paraId="1EDD1F15">
      <w:pPr>
        <w:widowControl/>
        <w:ind w:firstLine="6000" w:firstLineChars="2500"/>
        <w:rPr>
          <w:rFonts w:hint="eastAsia" w:ascii="宋体" w:hAnsi="宋体" w:eastAsia="宋体" w:cs="宋体"/>
          <w:color w:val="auto"/>
          <w:sz w:val="24"/>
          <w:szCs w:val="24"/>
        </w:rPr>
      </w:pPr>
    </w:p>
    <w:p w14:paraId="65650869">
      <w:pPr>
        <w:jc w:val="both"/>
        <w:rPr>
          <w:b/>
          <w:sz w:val="32"/>
          <w:szCs w:val="32"/>
        </w:rPr>
      </w:pPr>
      <w:r>
        <w:rPr>
          <w:rFonts w:hint="eastAsia"/>
          <w:b/>
          <w:color w:val="FF0000"/>
          <w:sz w:val="32"/>
          <w:szCs w:val="32"/>
          <w:lang w:eastAsia="zh-CN"/>
        </w:rPr>
        <w:t>附件</w:t>
      </w:r>
      <w:r>
        <w:rPr>
          <w:rFonts w:hint="eastAsia"/>
          <w:b/>
          <w:color w:val="FF0000"/>
          <w:sz w:val="32"/>
          <w:szCs w:val="32"/>
          <w:lang w:val="en-US" w:eastAsia="zh-CN"/>
        </w:rPr>
        <w:t xml:space="preserve">1. </w:t>
      </w:r>
      <w:r>
        <w:rPr>
          <w:rFonts w:hint="eastAsia"/>
          <w:b/>
          <w:sz w:val="32"/>
          <w:szCs w:val="32"/>
          <w:lang w:val="en-US" w:eastAsia="zh-CN"/>
        </w:rPr>
        <w:t xml:space="preserve">          </w:t>
      </w:r>
      <w:r>
        <w:rPr>
          <w:rFonts w:hint="eastAsia"/>
          <w:b/>
          <w:sz w:val="32"/>
          <w:szCs w:val="32"/>
        </w:rPr>
        <w:t>己内酰胺固体产品销售合同</w:t>
      </w:r>
    </w:p>
    <w:p w14:paraId="294FD4A0">
      <w:pPr>
        <w:spacing w:line="340" w:lineRule="exact"/>
        <w:ind w:firstLine="105" w:firstLineChars="50"/>
        <w:jc w:val="left"/>
        <w:rPr>
          <w:b/>
          <w:szCs w:val="21"/>
        </w:rPr>
      </w:pPr>
    </w:p>
    <w:p w14:paraId="6F283090">
      <w:pPr>
        <w:spacing w:line="340" w:lineRule="exact"/>
        <w:ind w:firstLine="105" w:firstLineChars="50"/>
        <w:jc w:val="left"/>
        <w:rPr>
          <w:rFonts w:hint="default"/>
          <w:b/>
          <w:szCs w:val="21"/>
          <w:u w:val="single"/>
          <w:lang w:val="en-US" w:eastAsia="zh-CN"/>
        </w:rPr>
      </w:pPr>
      <w:r>
        <w:rPr>
          <w:rFonts w:hint="eastAsia"/>
          <w:b/>
          <w:szCs w:val="21"/>
        </w:rPr>
        <w:t>供方：衢州巨化锦纶有限责任公司</w:t>
      </w:r>
      <w:r>
        <w:rPr>
          <w:b/>
          <w:szCs w:val="21"/>
        </w:rPr>
        <w:tab/>
      </w:r>
      <w:r>
        <w:rPr>
          <w:b/>
          <w:szCs w:val="21"/>
        </w:rPr>
        <w:t xml:space="preserve">         </w:t>
      </w:r>
      <w:r>
        <w:rPr>
          <w:rFonts w:hint="eastAsia"/>
          <w:b/>
          <w:szCs w:val="21"/>
          <w:lang w:val="en-US" w:eastAsia="zh-CN"/>
        </w:rPr>
        <w:t xml:space="preserve">        </w:t>
      </w:r>
      <w:r>
        <w:rPr>
          <w:b/>
          <w:szCs w:val="21"/>
        </w:rPr>
        <w:t xml:space="preserve">  </w:t>
      </w:r>
      <w:r>
        <w:rPr>
          <w:rFonts w:hint="eastAsia"/>
          <w:b/>
          <w:szCs w:val="21"/>
        </w:rPr>
        <w:t>合同编号：</w:t>
      </w:r>
      <w:r>
        <w:rPr>
          <w:rFonts w:hint="eastAsia"/>
          <w:b/>
          <w:szCs w:val="21"/>
          <w:u w:val="single"/>
          <w:lang w:val="en-US" w:eastAsia="zh-CN"/>
        </w:rPr>
        <w:t xml:space="preserve">                 </w:t>
      </w:r>
    </w:p>
    <w:p w14:paraId="67B56B1A">
      <w:pPr>
        <w:spacing w:line="340" w:lineRule="exact"/>
        <w:ind w:firstLine="105" w:firstLineChars="50"/>
        <w:jc w:val="left"/>
        <w:rPr>
          <w:b/>
          <w:szCs w:val="21"/>
        </w:rPr>
      </w:pPr>
      <w:r>
        <w:rPr>
          <w:rFonts w:hint="eastAsia"/>
          <w:b/>
          <w:szCs w:val="21"/>
        </w:rPr>
        <w:t>需方：</w:t>
      </w:r>
      <w:r>
        <w:rPr>
          <w:rFonts w:hint="eastAsia"/>
          <w:b/>
          <w:szCs w:val="21"/>
          <w:u w:val="single"/>
          <w:lang w:val="en-US" w:eastAsia="zh-CN"/>
        </w:rPr>
        <w:t xml:space="preserve">                      </w:t>
      </w:r>
      <w:r>
        <w:rPr>
          <w:b/>
          <w:szCs w:val="21"/>
          <w:u w:val="single"/>
        </w:rPr>
        <w:tab/>
      </w:r>
      <w:r>
        <w:rPr>
          <w:b/>
          <w:szCs w:val="21"/>
        </w:rPr>
        <w:t xml:space="preserve">         </w:t>
      </w:r>
      <w:r>
        <w:rPr>
          <w:rFonts w:hint="eastAsia"/>
          <w:b/>
          <w:szCs w:val="21"/>
          <w:lang w:val="en-US" w:eastAsia="zh-CN"/>
        </w:rPr>
        <w:t xml:space="preserve">        </w:t>
      </w:r>
      <w:r>
        <w:rPr>
          <w:b/>
          <w:szCs w:val="21"/>
        </w:rPr>
        <w:t xml:space="preserve">  </w:t>
      </w:r>
      <w:r>
        <w:rPr>
          <w:rFonts w:hint="eastAsia"/>
          <w:b/>
          <w:szCs w:val="21"/>
        </w:rPr>
        <w:t>签订地点：浙江省衢州市柯城区</w:t>
      </w:r>
    </w:p>
    <w:p w14:paraId="01569A4D">
      <w:pPr>
        <w:spacing w:line="340" w:lineRule="exact"/>
        <w:ind w:firstLine="105" w:firstLineChars="50"/>
        <w:jc w:val="left"/>
        <w:rPr>
          <w:b/>
        </w:rPr>
      </w:pPr>
      <w:r>
        <w:rPr>
          <w:rFonts w:hint="eastAsia"/>
          <w:b/>
        </w:rPr>
        <w:t xml:space="preserve">一、产品名称、规格、等级、数量：        </w:t>
      </w:r>
      <w:r>
        <w:rPr>
          <w:rFonts w:hint="eastAsia"/>
          <w:b/>
          <w:lang w:val="en-US" w:eastAsia="zh-CN"/>
        </w:rPr>
        <w:t xml:space="preserve">     </w:t>
      </w:r>
      <w:r>
        <w:rPr>
          <w:rFonts w:hint="eastAsia"/>
          <w:b/>
        </w:rPr>
        <w:t xml:space="preserve"> </w:t>
      </w:r>
      <w:r>
        <w:rPr>
          <w:rFonts w:hint="eastAsia"/>
          <w:b/>
          <w:lang w:val="en-US" w:eastAsia="zh-CN"/>
        </w:rPr>
        <w:t xml:space="preserve">    </w:t>
      </w:r>
      <w:r>
        <w:rPr>
          <w:rFonts w:hint="eastAsia"/>
          <w:b/>
        </w:rPr>
        <w:t>签订时间：</w:t>
      </w:r>
      <w:r>
        <w:rPr>
          <w:rFonts w:hint="eastAsia"/>
          <w:b/>
          <w:u w:val="single"/>
          <w:lang w:val="en-US" w:eastAsia="zh-CN"/>
        </w:rPr>
        <w:t xml:space="preserve">    </w:t>
      </w:r>
      <w:r>
        <w:rPr>
          <w:rFonts w:hint="eastAsia"/>
          <w:b/>
        </w:rPr>
        <w:t>年</w:t>
      </w:r>
      <w:r>
        <w:rPr>
          <w:rFonts w:hint="eastAsia"/>
          <w:b/>
          <w:u w:val="single"/>
          <w:lang w:val="en-US" w:eastAsia="zh-CN"/>
        </w:rPr>
        <w:t xml:space="preserve">   </w:t>
      </w:r>
      <w:r>
        <w:rPr>
          <w:rFonts w:hint="eastAsia"/>
          <w:b/>
        </w:rPr>
        <w:t>月</w:t>
      </w:r>
      <w:r>
        <w:rPr>
          <w:rFonts w:hint="eastAsia"/>
          <w:b/>
          <w:u w:val="single"/>
          <w:lang w:val="en-US" w:eastAsia="zh-CN"/>
        </w:rPr>
        <w:t xml:space="preserve">   </w:t>
      </w:r>
      <w:r>
        <w:rPr>
          <w:rFonts w:hint="eastAsia"/>
          <w:b/>
        </w:rPr>
        <w:t>日</w:t>
      </w:r>
    </w:p>
    <w:tbl>
      <w:tblPr>
        <w:tblStyle w:val="8"/>
        <w:tblW w:w="92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1268"/>
        <w:gridCol w:w="1057"/>
        <w:gridCol w:w="1455"/>
        <w:gridCol w:w="1426"/>
        <w:gridCol w:w="1199"/>
        <w:gridCol w:w="1766"/>
      </w:tblGrid>
      <w:tr w14:paraId="4689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1127" w:type="dxa"/>
            <w:noWrap w:val="0"/>
            <w:vAlign w:val="center"/>
          </w:tcPr>
          <w:p w14:paraId="29DCEF6E">
            <w:pPr>
              <w:spacing w:line="400" w:lineRule="exact"/>
              <w:jc w:val="left"/>
              <w:rPr>
                <w:b/>
              </w:rPr>
            </w:pPr>
            <w:r>
              <w:rPr>
                <w:rFonts w:hint="eastAsia"/>
                <w:b/>
              </w:rPr>
              <w:t>产品名称</w:t>
            </w:r>
          </w:p>
        </w:tc>
        <w:tc>
          <w:tcPr>
            <w:tcW w:w="1268" w:type="dxa"/>
            <w:noWrap w:val="0"/>
            <w:vAlign w:val="center"/>
          </w:tcPr>
          <w:p w14:paraId="09298EA6">
            <w:pPr>
              <w:spacing w:line="400" w:lineRule="exact"/>
              <w:jc w:val="left"/>
              <w:rPr>
                <w:b/>
              </w:rPr>
            </w:pPr>
            <w:r>
              <w:rPr>
                <w:rFonts w:hint="eastAsia"/>
                <w:b/>
              </w:rPr>
              <w:t>规格、等级</w:t>
            </w:r>
          </w:p>
        </w:tc>
        <w:tc>
          <w:tcPr>
            <w:tcW w:w="1057" w:type="dxa"/>
            <w:noWrap w:val="0"/>
            <w:vAlign w:val="center"/>
          </w:tcPr>
          <w:p w14:paraId="37009452">
            <w:pPr>
              <w:spacing w:line="400" w:lineRule="exact"/>
              <w:jc w:val="left"/>
              <w:rPr>
                <w:b/>
              </w:rPr>
            </w:pPr>
            <w:r>
              <w:rPr>
                <w:rFonts w:hint="eastAsia"/>
                <w:b/>
              </w:rPr>
              <w:t>数量</w:t>
            </w:r>
            <w:r>
              <w:rPr>
                <w:b/>
              </w:rPr>
              <w:t>（吨）</w:t>
            </w:r>
          </w:p>
        </w:tc>
        <w:tc>
          <w:tcPr>
            <w:tcW w:w="1455" w:type="dxa"/>
            <w:noWrap w:val="0"/>
            <w:vAlign w:val="center"/>
          </w:tcPr>
          <w:p w14:paraId="39CB4932">
            <w:pPr>
              <w:spacing w:line="400" w:lineRule="exact"/>
              <w:jc w:val="left"/>
              <w:rPr>
                <w:b/>
              </w:rPr>
            </w:pPr>
            <w:r>
              <w:rPr>
                <w:rFonts w:hint="eastAsia"/>
                <w:b/>
              </w:rPr>
              <w:t>价格</w:t>
            </w:r>
            <w:r>
              <w:rPr>
                <w:b/>
              </w:rPr>
              <w:t xml:space="preserve"> （元/吨）</w:t>
            </w:r>
          </w:p>
        </w:tc>
        <w:tc>
          <w:tcPr>
            <w:tcW w:w="1426" w:type="dxa"/>
            <w:noWrap w:val="0"/>
            <w:vAlign w:val="center"/>
          </w:tcPr>
          <w:p w14:paraId="28333438">
            <w:pPr>
              <w:spacing w:line="400" w:lineRule="exact"/>
              <w:jc w:val="left"/>
              <w:rPr>
                <w:b/>
              </w:rPr>
            </w:pPr>
            <w:r>
              <w:rPr>
                <w:b/>
              </w:rPr>
              <w:t>不含税金额（元）</w:t>
            </w:r>
          </w:p>
        </w:tc>
        <w:tc>
          <w:tcPr>
            <w:tcW w:w="1199" w:type="dxa"/>
            <w:noWrap w:val="0"/>
            <w:vAlign w:val="center"/>
          </w:tcPr>
          <w:p w14:paraId="37CBD6B1">
            <w:pPr>
              <w:spacing w:line="400" w:lineRule="exact"/>
              <w:jc w:val="left"/>
              <w:rPr>
                <w:b/>
              </w:rPr>
            </w:pPr>
            <w:r>
              <w:rPr>
                <w:b/>
              </w:rPr>
              <w:t>税额（元）</w:t>
            </w:r>
          </w:p>
        </w:tc>
        <w:tc>
          <w:tcPr>
            <w:tcW w:w="1766" w:type="dxa"/>
            <w:noWrap w:val="0"/>
            <w:vAlign w:val="center"/>
          </w:tcPr>
          <w:p w14:paraId="6F9F573B">
            <w:pPr>
              <w:spacing w:line="400" w:lineRule="exact"/>
              <w:jc w:val="left"/>
              <w:rPr>
                <w:b/>
              </w:rPr>
            </w:pPr>
            <w:r>
              <w:rPr>
                <w:b/>
              </w:rPr>
              <w:t>含税</w:t>
            </w:r>
            <w:r>
              <w:rPr>
                <w:rFonts w:hint="eastAsia"/>
                <w:b/>
              </w:rPr>
              <w:t>金额（元）</w:t>
            </w:r>
          </w:p>
        </w:tc>
      </w:tr>
      <w:tr w14:paraId="15062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127" w:type="dxa"/>
            <w:noWrap w:val="0"/>
            <w:vAlign w:val="center"/>
          </w:tcPr>
          <w:p w14:paraId="6084B3FA">
            <w:pPr>
              <w:spacing w:line="400" w:lineRule="exact"/>
              <w:jc w:val="left"/>
              <w:rPr>
                <w:b/>
              </w:rPr>
            </w:pPr>
            <w:r>
              <w:rPr>
                <w:rFonts w:hint="eastAsia"/>
                <w:b/>
              </w:rPr>
              <w:t>己内酰胺</w:t>
            </w:r>
          </w:p>
        </w:tc>
        <w:tc>
          <w:tcPr>
            <w:tcW w:w="1268" w:type="dxa"/>
            <w:noWrap w:val="0"/>
            <w:vAlign w:val="center"/>
          </w:tcPr>
          <w:p w14:paraId="46F5F572">
            <w:pPr>
              <w:spacing w:line="400" w:lineRule="exact"/>
              <w:jc w:val="left"/>
              <w:rPr>
                <w:b/>
              </w:rPr>
            </w:pPr>
            <w:r>
              <w:rPr>
                <w:rFonts w:hint="eastAsia"/>
                <w:b/>
                <w:szCs w:val="21"/>
                <w:lang w:val="en-US" w:eastAsia="zh-CN"/>
              </w:rPr>
              <w:t>等外品</w:t>
            </w:r>
          </w:p>
        </w:tc>
        <w:tc>
          <w:tcPr>
            <w:tcW w:w="1057" w:type="dxa"/>
            <w:noWrap w:val="0"/>
            <w:vAlign w:val="center"/>
          </w:tcPr>
          <w:p w14:paraId="4D53C467">
            <w:pPr>
              <w:spacing w:line="400" w:lineRule="exact"/>
              <w:jc w:val="left"/>
              <w:rPr>
                <w:rFonts w:hint="default" w:eastAsia="宋体"/>
                <w:b/>
                <w:lang w:val="en-US" w:eastAsia="zh-CN"/>
              </w:rPr>
            </w:pPr>
          </w:p>
        </w:tc>
        <w:tc>
          <w:tcPr>
            <w:tcW w:w="1455" w:type="dxa"/>
            <w:noWrap w:val="0"/>
            <w:vAlign w:val="center"/>
          </w:tcPr>
          <w:p w14:paraId="3616EBF6">
            <w:pPr>
              <w:spacing w:line="400" w:lineRule="exact"/>
              <w:jc w:val="left"/>
              <w:rPr>
                <w:rFonts w:hint="default" w:eastAsia="宋体"/>
                <w:b/>
                <w:lang w:val="en-US" w:eastAsia="zh-CN"/>
              </w:rPr>
            </w:pPr>
          </w:p>
        </w:tc>
        <w:tc>
          <w:tcPr>
            <w:tcW w:w="1426" w:type="dxa"/>
            <w:noWrap w:val="0"/>
            <w:vAlign w:val="center"/>
          </w:tcPr>
          <w:p w14:paraId="38835734">
            <w:pPr>
              <w:spacing w:line="400" w:lineRule="exact"/>
              <w:jc w:val="left"/>
              <w:rPr>
                <w:rFonts w:hint="default" w:eastAsia="宋体"/>
                <w:b/>
                <w:lang w:val="en-US" w:eastAsia="zh-CN"/>
              </w:rPr>
            </w:pPr>
          </w:p>
        </w:tc>
        <w:tc>
          <w:tcPr>
            <w:tcW w:w="1199" w:type="dxa"/>
            <w:noWrap w:val="0"/>
            <w:vAlign w:val="center"/>
          </w:tcPr>
          <w:p w14:paraId="245736A3">
            <w:pPr>
              <w:spacing w:line="400" w:lineRule="exact"/>
              <w:jc w:val="left"/>
              <w:rPr>
                <w:rFonts w:hint="default" w:eastAsia="宋体"/>
                <w:b/>
                <w:lang w:val="en-US" w:eastAsia="zh-CN"/>
              </w:rPr>
            </w:pPr>
          </w:p>
        </w:tc>
        <w:tc>
          <w:tcPr>
            <w:tcW w:w="1766" w:type="dxa"/>
            <w:noWrap w:val="0"/>
            <w:vAlign w:val="center"/>
          </w:tcPr>
          <w:p w14:paraId="39749074">
            <w:pPr>
              <w:spacing w:line="400" w:lineRule="exact"/>
              <w:ind w:firstLine="310" w:firstLineChars="147"/>
              <w:jc w:val="left"/>
              <w:rPr>
                <w:rFonts w:hint="default" w:eastAsia="宋体"/>
                <w:b/>
                <w:lang w:val="en-US" w:eastAsia="zh-CN"/>
              </w:rPr>
            </w:pPr>
          </w:p>
        </w:tc>
      </w:tr>
      <w:tr w14:paraId="76BF9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27" w:type="dxa"/>
            <w:noWrap w:val="0"/>
            <w:vAlign w:val="center"/>
          </w:tcPr>
          <w:p w14:paraId="0F75D887">
            <w:pPr>
              <w:spacing w:line="400" w:lineRule="exact"/>
              <w:jc w:val="left"/>
              <w:rPr>
                <w:b/>
              </w:rPr>
            </w:pPr>
            <w:r>
              <w:rPr>
                <w:rFonts w:hint="eastAsia"/>
                <w:b/>
              </w:rPr>
              <w:t>装车费</w:t>
            </w:r>
          </w:p>
        </w:tc>
        <w:tc>
          <w:tcPr>
            <w:tcW w:w="1268" w:type="dxa"/>
            <w:noWrap w:val="0"/>
            <w:vAlign w:val="center"/>
          </w:tcPr>
          <w:p w14:paraId="1572639E">
            <w:pPr>
              <w:spacing w:line="400" w:lineRule="exact"/>
              <w:jc w:val="left"/>
              <w:rPr>
                <w:rFonts w:hint="eastAsia" w:eastAsia="宋体"/>
                <w:b/>
                <w:lang w:val="en-US" w:eastAsia="zh-CN"/>
              </w:rPr>
            </w:pPr>
            <w:r>
              <w:rPr>
                <w:rFonts w:hint="eastAsia"/>
                <w:b/>
                <w:lang w:val="en-US" w:eastAsia="zh-CN"/>
              </w:rPr>
              <w:t>/</w:t>
            </w:r>
          </w:p>
        </w:tc>
        <w:tc>
          <w:tcPr>
            <w:tcW w:w="1057" w:type="dxa"/>
            <w:noWrap w:val="0"/>
            <w:vAlign w:val="center"/>
          </w:tcPr>
          <w:p w14:paraId="6B7E0A24">
            <w:pPr>
              <w:spacing w:line="400" w:lineRule="exact"/>
              <w:jc w:val="left"/>
              <w:rPr>
                <w:rFonts w:hint="default" w:eastAsia="宋体"/>
                <w:b/>
                <w:lang w:val="en-US" w:eastAsia="zh-CN"/>
              </w:rPr>
            </w:pPr>
          </w:p>
        </w:tc>
        <w:tc>
          <w:tcPr>
            <w:tcW w:w="1455" w:type="dxa"/>
            <w:noWrap w:val="0"/>
            <w:vAlign w:val="center"/>
          </w:tcPr>
          <w:p w14:paraId="17E1B4C5">
            <w:pPr>
              <w:spacing w:line="400" w:lineRule="exact"/>
              <w:jc w:val="left"/>
              <w:rPr>
                <w:rFonts w:hint="default" w:eastAsia="宋体"/>
                <w:b/>
                <w:lang w:val="en-US" w:eastAsia="zh-CN"/>
              </w:rPr>
            </w:pPr>
            <w:r>
              <w:rPr>
                <w:rFonts w:hint="eastAsia"/>
                <w:b/>
                <w:lang w:val="en-US" w:eastAsia="zh-CN"/>
              </w:rPr>
              <w:t>12.00</w:t>
            </w:r>
          </w:p>
        </w:tc>
        <w:tc>
          <w:tcPr>
            <w:tcW w:w="1426" w:type="dxa"/>
            <w:noWrap w:val="0"/>
            <w:vAlign w:val="center"/>
          </w:tcPr>
          <w:p w14:paraId="54F0D16A">
            <w:pPr>
              <w:spacing w:line="400" w:lineRule="exact"/>
              <w:jc w:val="left"/>
              <w:rPr>
                <w:rFonts w:hint="default" w:eastAsia="宋体"/>
                <w:b/>
                <w:lang w:val="en-US" w:eastAsia="zh-CN"/>
              </w:rPr>
            </w:pPr>
          </w:p>
        </w:tc>
        <w:tc>
          <w:tcPr>
            <w:tcW w:w="1199" w:type="dxa"/>
            <w:noWrap w:val="0"/>
            <w:vAlign w:val="center"/>
          </w:tcPr>
          <w:p w14:paraId="2C8D9D56">
            <w:pPr>
              <w:spacing w:line="400" w:lineRule="exact"/>
              <w:jc w:val="left"/>
              <w:rPr>
                <w:rFonts w:hint="default"/>
                <w:b/>
                <w:lang w:val="en-US" w:eastAsia="zh-CN"/>
              </w:rPr>
            </w:pPr>
          </w:p>
        </w:tc>
        <w:tc>
          <w:tcPr>
            <w:tcW w:w="1766" w:type="dxa"/>
            <w:noWrap w:val="0"/>
            <w:vAlign w:val="center"/>
          </w:tcPr>
          <w:p w14:paraId="097BEA4D">
            <w:pPr>
              <w:spacing w:line="400" w:lineRule="exact"/>
              <w:ind w:firstLine="310" w:firstLineChars="147"/>
              <w:jc w:val="left"/>
              <w:rPr>
                <w:rFonts w:hint="default"/>
                <w:b/>
                <w:lang w:val="en-US"/>
              </w:rPr>
            </w:pPr>
          </w:p>
        </w:tc>
      </w:tr>
      <w:tr w14:paraId="3DF86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32" w:type="dxa"/>
            <w:gridSpan w:val="6"/>
            <w:noWrap w:val="0"/>
            <w:vAlign w:val="center"/>
          </w:tcPr>
          <w:p w14:paraId="731E8B1C">
            <w:pPr>
              <w:spacing w:line="400" w:lineRule="exact"/>
              <w:jc w:val="left"/>
              <w:rPr>
                <w:b/>
              </w:rPr>
            </w:pPr>
            <w:r>
              <w:rPr>
                <w:rFonts w:hint="eastAsia"/>
                <w:b/>
              </w:rPr>
              <w:t>合计人民币金额（大写）</w:t>
            </w:r>
            <w:r>
              <w:rPr>
                <w:rFonts w:hint="eastAsia"/>
                <w:b/>
                <w:lang w:eastAsia="zh-CN"/>
              </w:rPr>
              <w:t>：</w:t>
            </w:r>
            <w:r>
              <w:rPr>
                <w:rFonts w:hint="eastAsia"/>
                <w:b/>
                <w:lang w:val="en-US" w:eastAsia="zh-CN"/>
              </w:rPr>
              <w:t xml:space="preserve">                  </w:t>
            </w:r>
            <w:r>
              <w:rPr>
                <w:b/>
              </w:rPr>
              <w:t>（含13%增值税）</w:t>
            </w:r>
          </w:p>
        </w:tc>
        <w:tc>
          <w:tcPr>
            <w:tcW w:w="1766" w:type="dxa"/>
            <w:noWrap w:val="0"/>
            <w:vAlign w:val="center"/>
          </w:tcPr>
          <w:p w14:paraId="3E3CD653">
            <w:pPr>
              <w:spacing w:line="400" w:lineRule="exact"/>
              <w:jc w:val="left"/>
              <w:rPr>
                <w:rFonts w:hint="default" w:eastAsia="宋体"/>
                <w:b/>
                <w:lang w:val="en-US" w:eastAsia="zh-CN"/>
              </w:rPr>
            </w:pPr>
          </w:p>
        </w:tc>
      </w:tr>
      <w:tr w14:paraId="6F596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98" w:type="dxa"/>
            <w:gridSpan w:val="7"/>
            <w:noWrap w:val="0"/>
            <w:vAlign w:val="center"/>
          </w:tcPr>
          <w:p w14:paraId="2426B739">
            <w:pPr>
              <w:spacing w:line="400" w:lineRule="exact"/>
              <w:jc w:val="left"/>
              <w:rPr>
                <w:b/>
              </w:rPr>
            </w:pPr>
            <w:r>
              <w:rPr>
                <w:rFonts w:hint="eastAsia"/>
                <w:b/>
              </w:rPr>
              <w:t>备注：以</w:t>
            </w:r>
            <w:r>
              <w:rPr>
                <w:rFonts w:hint="eastAsia"/>
                <w:b/>
                <w:lang w:eastAsia="zh-CN"/>
              </w:rPr>
              <w:t>供方地磅</w:t>
            </w:r>
            <w:r>
              <w:rPr>
                <w:rFonts w:hint="eastAsia"/>
                <w:b/>
              </w:rPr>
              <w:t>过磅</w:t>
            </w:r>
            <w:r>
              <w:rPr>
                <w:rFonts w:hint="eastAsia"/>
                <w:b/>
                <w:lang w:eastAsia="zh-CN"/>
              </w:rPr>
              <w:t>净重</w:t>
            </w:r>
            <w:r>
              <w:rPr>
                <w:rFonts w:hint="eastAsia"/>
                <w:b/>
              </w:rPr>
              <w:t>计量，其中每吨包装袋重量按照9公斤计量。</w:t>
            </w:r>
          </w:p>
        </w:tc>
      </w:tr>
    </w:tbl>
    <w:p w14:paraId="44CF6554">
      <w:pPr>
        <w:keepNext w:val="0"/>
        <w:keepLines w:val="0"/>
        <w:pageBreakBefore w:val="0"/>
        <w:widowControl w:val="0"/>
        <w:kinsoku/>
        <w:wordWrap/>
        <w:overflowPunct/>
        <w:topLinePunct w:val="0"/>
        <w:autoSpaceDE/>
        <w:autoSpaceDN/>
        <w:bidi w:val="0"/>
        <w:adjustRightInd/>
        <w:snapToGrid/>
        <w:spacing w:line="400" w:lineRule="exact"/>
        <w:jc w:val="left"/>
        <w:textAlignment w:val="auto"/>
        <w:rPr>
          <w:b/>
        </w:rPr>
      </w:pPr>
      <w:r>
        <w:rPr>
          <w:rFonts w:hint="eastAsia"/>
          <w:b/>
        </w:rPr>
        <w:t>二、</w:t>
      </w:r>
      <w:r>
        <w:rPr>
          <w:rFonts w:hint="eastAsia"/>
          <w:b/>
          <w:color w:val="000000" w:themeColor="text1"/>
          <w:lang w:eastAsia="zh-CN"/>
          <w14:textFill>
            <w14:solidFill>
              <w14:schemeClr w14:val="tx1"/>
            </w14:solidFill>
          </w14:textFill>
        </w:rPr>
        <w:t>产品</w:t>
      </w:r>
      <w:r>
        <w:rPr>
          <w:rFonts w:hint="eastAsia"/>
          <w:b/>
          <w:color w:val="000000" w:themeColor="text1"/>
          <w14:textFill>
            <w14:solidFill>
              <w14:schemeClr w14:val="tx1"/>
            </w14:solidFill>
          </w14:textFill>
        </w:rPr>
        <w:t>按</w:t>
      </w:r>
      <w:r>
        <w:rPr>
          <w:rFonts w:hint="eastAsia" w:ascii="Arial Unicode MS" w:hAnsi="Arial Unicode MS" w:eastAsia="Arial Unicode MS" w:cs="Arial Unicode MS"/>
          <w:b/>
          <w:color w:val="000000" w:themeColor="text1"/>
          <w:szCs w:val="21"/>
          <w:u w:val="single"/>
          <w14:textFill>
            <w14:solidFill>
              <w14:schemeClr w14:val="tx1"/>
            </w14:solidFill>
          </w14:textFill>
        </w:rPr>
        <w:t>GB/T13254-20</w:t>
      </w:r>
      <w:r>
        <w:rPr>
          <w:rFonts w:ascii="Arial Unicode MS" w:hAnsi="Arial Unicode MS" w:eastAsia="Arial Unicode MS" w:cs="Arial Unicode MS"/>
          <w:b/>
          <w:color w:val="000000" w:themeColor="text1"/>
          <w:szCs w:val="21"/>
          <w:u w:val="single"/>
          <w14:textFill>
            <w14:solidFill>
              <w14:schemeClr w14:val="tx1"/>
            </w14:solidFill>
          </w14:textFill>
        </w:rPr>
        <w:t>17</w:t>
      </w:r>
      <w:r>
        <w:rPr>
          <w:rFonts w:hint="eastAsia"/>
          <w:b/>
          <w:color w:val="000000" w:themeColor="text1"/>
          <w14:textFill>
            <w14:solidFill>
              <w14:schemeClr w14:val="tx1"/>
            </w14:solidFill>
          </w14:textFill>
        </w:rPr>
        <w:t>标准</w:t>
      </w:r>
      <w:r>
        <w:rPr>
          <w:rFonts w:hint="eastAsia"/>
          <w:b/>
          <w:color w:val="000000" w:themeColor="text1"/>
          <w:lang w:eastAsia="zh-CN"/>
          <w14:textFill>
            <w14:solidFill>
              <w14:schemeClr w14:val="tx1"/>
            </w14:solidFill>
          </w14:textFill>
        </w:rPr>
        <w:t>检测分析</w:t>
      </w:r>
      <w:r>
        <w:rPr>
          <w:rFonts w:hint="eastAsia"/>
          <w:b/>
          <w:color w:val="000000" w:themeColor="text1"/>
          <w14:textFill>
            <w14:solidFill>
              <w14:schemeClr w14:val="tx1"/>
            </w14:solidFill>
          </w14:textFill>
        </w:rPr>
        <w:t>，</w:t>
      </w:r>
      <w:r>
        <w:rPr>
          <w:rFonts w:hint="eastAsia"/>
          <w:b/>
          <w:color w:val="000000" w:themeColor="text1"/>
          <w:lang w:eastAsia="zh-CN"/>
          <w14:textFill>
            <w14:solidFill>
              <w14:schemeClr w14:val="tx1"/>
            </w14:solidFill>
          </w14:textFill>
        </w:rPr>
        <w:t>部分指标的检验结果超出合格范围，实际以供方的产品</w:t>
      </w:r>
      <w:r>
        <w:rPr>
          <w:rFonts w:hint="eastAsia"/>
          <w:b/>
          <w:color w:val="000000" w:themeColor="text1"/>
          <w14:textFill>
            <w14:solidFill>
              <w14:schemeClr w14:val="tx1"/>
            </w14:solidFill>
          </w14:textFill>
        </w:rPr>
        <w:t>检验报告</w:t>
      </w:r>
      <w:r>
        <w:rPr>
          <w:rFonts w:hint="eastAsia"/>
          <w:b/>
          <w:color w:val="000000" w:themeColor="text1"/>
          <w:lang w:eastAsia="zh-CN"/>
          <w14:textFill>
            <w14:solidFill>
              <w14:schemeClr w14:val="tx1"/>
            </w14:solidFill>
          </w14:textFill>
        </w:rPr>
        <w:t>为准</w:t>
      </w:r>
      <w:r>
        <w:rPr>
          <w:rFonts w:hint="eastAsia"/>
          <w:b/>
          <w:color w:val="000000" w:themeColor="text1"/>
          <w14:textFill>
            <w14:solidFill>
              <w14:schemeClr w14:val="tx1"/>
            </w14:solidFill>
          </w14:textFill>
        </w:rPr>
        <w:t>。本合同一经签订，即视为</w:t>
      </w:r>
      <w:r>
        <w:rPr>
          <w:rFonts w:hint="eastAsia"/>
          <w:b/>
          <w:color w:val="000000" w:themeColor="text1"/>
          <w:lang w:eastAsia="zh-CN"/>
          <w14:textFill>
            <w14:solidFill>
              <w14:schemeClr w14:val="tx1"/>
            </w14:solidFill>
          </w14:textFill>
        </w:rPr>
        <w:t>需方</w:t>
      </w:r>
      <w:r>
        <w:rPr>
          <w:rFonts w:hint="eastAsia"/>
          <w:b/>
          <w:color w:val="000000" w:themeColor="text1"/>
          <w14:textFill>
            <w14:solidFill>
              <w14:schemeClr w14:val="tx1"/>
            </w14:solidFill>
          </w14:textFill>
        </w:rPr>
        <w:t>已充分知晓并认可产品质量状况，无任何</w:t>
      </w:r>
      <w:r>
        <w:rPr>
          <w:rFonts w:hint="eastAsia"/>
          <w:b/>
          <w:color w:val="000000" w:themeColor="text1"/>
          <w:lang w:eastAsia="zh-CN"/>
          <w14:textFill>
            <w14:solidFill>
              <w14:schemeClr w14:val="tx1"/>
            </w14:solidFill>
          </w14:textFill>
        </w:rPr>
        <w:t>产品质量</w:t>
      </w:r>
      <w:r>
        <w:rPr>
          <w:rFonts w:hint="eastAsia"/>
          <w:b/>
          <w:color w:val="000000" w:themeColor="text1"/>
          <w14:textFill>
            <w14:solidFill>
              <w14:schemeClr w14:val="tx1"/>
            </w14:solidFill>
          </w14:textFill>
        </w:rPr>
        <w:t>异议。后续买方不得再以产品质量不合格、指标超标等为由，向供方提出退货、换货、扣款及索赔等一切诉求。</w:t>
      </w:r>
    </w:p>
    <w:p w14:paraId="7DF7A3A4">
      <w:pPr>
        <w:spacing w:line="400" w:lineRule="exact"/>
        <w:jc w:val="left"/>
        <w:rPr>
          <w:b/>
        </w:rPr>
      </w:pPr>
      <w:r>
        <w:rPr>
          <w:rFonts w:hint="eastAsia"/>
          <w:b/>
        </w:rPr>
        <w:t>三、</w:t>
      </w:r>
      <w:r>
        <w:rPr>
          <w:rFonts w:hint="eastAsia" w:ascii="宋体"/>
          <w:b/>
          <w:szCs w:val="21"/>
        </w:rPr>
        <w:t>交货时间：</w:t>
      </w:r>
      <w:r>
        <w:rPr>
          <w:rFonts w:hint="eastAsia" w:ascii="宋体"/>
          <w:b/>
          <w:szCs w:val="21"/>
          <w:u w:val="single"/>
          <w:lang w:val="en-US" w:eastAsia="zh-CN"/>
        </w:rPr>
        <w:t xml:space="preserve">    </w:t>
      </w:r>
      <w:r>
        <w:rPr>
          <w:rFonts w:hint="eastAsia" w:ascii="宋体"/>
          <w:b/>
          <w:szCs w:val="21"/>
        </w:rPr>
        <w:t>年</w:t>
      </w:r>
      <w:r>
        <w:rPr>
          <w:rFonts w:hint="eastAsia" w:ascii="宋体"/>
          <w:b/>
          <w:szCs w:val="21"/>
          <w:u w:val="single"/>
          <w:lang w:val="en-US" w:eastAsia="zh-CN"/>
        </w:rPr>
        <w:t xml:space="preserve">    </w:t>
      </w:r>
      <w:r>
        <w:rPr>
          <w:rFonts w:hint="eastAsia" w:ascii="宋体"/>
          <w:b/>
          <w:szCs w:val="21"/>
        </w:rPr>
        <w:t>月</w:t>
      </w:r>
      <w:r>
        <w:rPr>
          <w:rFonts w:hint="eastAsia" w:ascii="宋体"/>
          <w:b/>
          <w:szCs w:val="21"/>
          <w:u w:val="single"/>
          <w:lang w:val="en-US" w:eastAsia="zh-CN"/>
        </w:rPr>
        <w:t xml:space="preserve">   </w:t>
      </w:r>
      <w:r>
        <w:rPr>
          <w:rFonts w:hint="eastAsia" w:ascii="宋体"/>
          <w:b/>
          <w:szCs w:val="21"/>
        </w:rPr>
        <w:t>日</w:t>
      </w:r>
      <w:r>
        <w:rPr>
          <w:rFonts w:hint="eastAsia" w:ascii="宋体"/>
          <w:b/>
          <w:szCs w:val="21"/>
          <w:lang w:val="en-US" w:eastAsia="zh-CN"/>
        </w:rPr>
        <w:t xml:space="preserve"> </w:t>
      </w:r>
      <w:r>
        <w:rPr>
          <w:rFonts w:hint="eastAsia" w:ascii="宋体"/>
          <w:b/>
          <w:szCs w:val="21"/>
        </w:rPr>
        <w:t>至</w:t>
      </w:r>
      <w:r>
        <w:rPr>
          <w:rFonts w:hint="eastAsia" w:ascii="宋体"/>
          <w:b/>
          <w:szCs w:val="21"/>
          <w:u w:val="single"/>
          <w:lang w:val="en-US" w:eastAsia="zh-CN"/>
        </w:rPr>
        <w:t xml:space="preserve">   </w:t>
      </w:r>
      <w:r>
        <w:rPr>
          <w:rFonts w:hint="eastAsia" w:ascii="宋体"/>
          <w:b/>
          <w:szCs w:val="21"/>
        </w:rPr>
        <w:t>年</w:t>
      </w:r>
      <w:r>
        <w:rPr>
          <w:rFonts w:hint="eastAsia" w:ascii="宋体"/>
          <w:b/>
          <w:szCs w:val="21"/>
          <w:u w:val="single"/>
          <w:lang w:val="en-US" w:eastAsia="zh-CN"/>
        </w:rPr>
        <w:t xml:space="preserve">   </w:t>
      </w:r>
      <w:r>
        <w:rPr>
          <w:rFonts w:hint="eastAsia" w:ascii="宋体"/>
          <w:b/>
          <w:szCs w:val="21"/>
        </w:rPr>
        <w:t>月</w:t>
      </w:r>
      <w:r>
        <w:rPr>
          <w:rFonts w:hint="eastAsia" w:ascii="宋体"/>
          <w:b/>
          <w:szCs w:val="21"/>
          <w:u w:val="single"/>
          <w:lang w:val="en-US" w:eastAsia="zh-CN"/>
        </w:rPr>
        <w:t xml:space="preserve">   </w:t>
      </w:r>
      <w:r>
        <w:rPr>
          <w:rFonts w:hint="eastAsia" w:ascii="宋体"/>
          <w:b/>
          <w:szCs w:val="21"/>
        </w:rPr>
        <w:t>日。</w:t>
      </w:r>
    </w:p>
    <w:p w14:paraId="425F3A7E">
      <w:pPr>
        <w:spacing w:line="400" w:lineRule="exact"/>
        <w:jc w:val="left"/>
        <w:rPr>
          <w:b/>
        </w:rPr>
      </w:pPr>
      <w:r>
        <w:rPr>
          <w:rFonts w:hint="eastAsia"/>
          <w:b/>
        </w:rPr>
        <w:t>四、结算方式及履行地点（在选定方式上打“√”或填写内容、未选定项打“×”）：</w:t>
      </w:r>
    </w:p>
    <w:p w14:paraId="7263ABE3">
      <w:pPr>
        <w:spacing w:line="400" w:lineRule="exact"/>
        <w:jc w:val="left"/>
        <w:rPr>
          <w:b/>
        </w:rPr>
      </w:pPr>
      <w:r>
        <w:rPr>
          <w:rFonts w:hint="eastAsia"/>
          <w:b/>
        </w:rPr>
        <w:t>（一）（√）出厂价结算，需方自提，合同履行地点：衢州巨化锦纶有限责任公司成品库。</w:t>
      </w:r>
    </w:p>
    <w:p w14:paraId="5A3579CC">
      <w:pPr>
        <w:spacing w:line="340" w:lineRule="exact"/>
        <w:jc w:val="left"/>
        <w:rPr>
          <w:rFonts w:hint="eastAsia" w:eastAsia="宋体"/>
          <w:b/>
          <w:lang w:eastAsia="zh-CN"/>
        </w:rPr>
      </w:pPr>
      <w:r>
        <w:rPr>
          <w:rFonts w:hint="eastAsia"/>
          <w:b/>
        </w:rPr>
        <w:t>（二）（×）“一票制”（货款+运费）结算</w:t>
      </w:r>
      <w:r>
        <w:rPr>
          <w:rFonts w:hint="eastAsia"/>
          <w:b/>
          <w:szCs w:val="21"/>
        </w:rPr>
        <w:t>，</w:t>
      </w:r>
      <w:r>
        <w:rPr>
          <w:rFonts w:hint="eastAsia"/>
          <w:b/>
        </w:rPr>
        <w:t>产品运输：公路运输车辆由浙江巨化物流有限公司配载交易中心负责调配，产品生产工厂委托配载交易中心调配的车辆承运并与运输单位签订《公路货物运输合同</w:t>
      </w:r>
      <w:r>
        <w:rPr>
          <w:rFonts w:hint="eastAsia"/>
          <w:b/>
          <w:lang w:eastAsia="zh-CN"/>
        </w:rPr>
        <w:t>》。</w:t>
      </w:r>
    </w:p>
    <w:p w14:paraId="174F150C">
      <w:pPr>
        <w:spacing w:line="400" w:lineRule="exact"/>
        <w:jc w:val="left"/>
        <w:rPr>
          <w:b/>
        </w:rPr>
      </w:pPr>
      <w:r>
        <w:rPr>
          <w:rFonts w:hint="eastAsia"/>
          <w:b/>
        </w:rPr>
        <w:t>（三）货款与产品生产厂</w:t>
      </w:r>
      <w:r>
        <w:rPr>
          <w:rFonts w:hint="eastAsia"/>
          <w:b/>
          <w:szCs w:val="21"/>
          <w:u w:val="single"/>
        </w:rPr>
        <w:t>（1）</w:t>
      </w:r>
      <w:r>
        <w:rPr>
          <w:rFonts w:hint="eastAsia"/>
          <w:b/>
        </w:rPr>
        <w:t>结算：</w:t>
      </w:r>
    </w:p>
    <w:p w14:paraId="7C224F57">
      <w:pPr>
        <w:spacing w:line="400" w:lineRule="exact"/>
        <w:jc w:val="left"/>
        <w:rPr>
          <w:b/>
        </w:rPr>
      </w:pPr>
      <w:r>
        <w:rPr>
          <w:rFonts w:hint="eastAsia"/>
          <w:b/>
        </w:rPr>
        <w:t>（1）</w:t>
      </w:r>
      <w:r>
        <w:rPr>
          <w:rFonts w:hint="eastAsia"/>
          <w:b/>
          <w:u w:val="single"/>
        </w:rPr>
        <w:t>√</w:t>
      </w:r>
      <w:r>
        <w:rPr>
          <w:rFonts w:hint="eastAsia"/>
          <w:b/>
        </w:rPr>
        <w:t>款到发货（现款</w:t>
      </w:r>
      <w:r>
        <w:rPr>
          <w:rFonts w:hint="eastAsia"/>
          <w:b/>
          <w:u w:val="single"/>
        </w:rPr>
        <w:t>√</w:t>
      </w:r>
      <w:r>
        <w:rPr>
          <w:rFonts w:hint="eastAsia"/>
          <w:b/>
          <w:szCs w:val="21"/>
        </w:rPr>
        <w:t>，承兑</w:t>
      </w:r>
      <w:r>
        <w:rPr>
          <w:rFonts w:hint="eastAsia"/>
          <w:b/>
          <w:u w:val="single"/>
        </w:rPr>
        <w:t>×</w:t>
      </w:r>
      <w:r>
        <w:rPr>
          <w:rFonts w:hint="eastAsia"/>
          <w:b/>
        </w:rPr>
        <w:t>），</w:t>
      </w:r>
    </w:p>
    <w:p w14:paraId="66334567">
      <w:pPr>
        <w:spacing w:line="400" w:lineRule="exact"/>
        <w:jc w:val="left"/>
        <w:rPr>
          <w:b/>
        </w:rPr>
      </w:pPr>
      <w:r>
        <w:rPr>
          <w:rFonts w:hint="eastAsia"/>
          <w:b/>
        </w:rPr>
        <w:t>（2）</w:t>
      </w:r>
      <w:r>
        <w:rPr>
          <w:rFonts w:hint="eastAsia"/>
          <w:b/>
          <w:u w:val="single"/>
        </w:rPr>
        <w:t>×</w:t>
      </w:r>
      <w:r>
        <w:rPr>
          <w:rFonts w:hint="eastAsia"/>
          <w:b/>
        </w:rPr>
        <w:t>需方收到发票后</w:t>
      </w:r>
      <w:r>
        <w:rPr>
          <w:rFonts w:hint="eastAsia"/>
          <w:b/>
          <w:u w:val="single"/>
        </w:rPr>
        <w:t>×</w:t>
      </w:r>
      <w:r>
        <w:rPr>
          <w:rFonts w:hint="eastAsia"/>
          <w:b/>
        </w:rPr>
        <w:t>日内支付（现款</w:t>
      </w:r>
      <w:r>
        <w:rPr>
          <w:rFonts w:hint="eastAsia"/>
          <w:b/>
          <w:u w:val="single"/>
        </w:rPr>
        <w:t>×</w:t>
      </w:r>
      <w:r>
        <w:rPr>
          <w:rFonts w:hint="eastAsia"/>
          <w:b/>
          <w:szCs w:val="21"/>
        </w:rPr>
        <w:t>、承兑</w:t>
      </w:r>
      <w:r>
        <w:rPr>
          <w:rFonts w:hint="eastAsia"/>
          <w:b/>
          <w:u w:val="single"/>
        </w:rPr>
        <w:t>×</w:t>
      </w:r>
      <w:r>
        <w:rPr>
          <w:rFonts w:hint="eastAsia"/>
          <w:b/>
        </w:rPr>
        <w:t>）；</w:t>
      </w:r>
    </w:p>
    <w:p w14:paraId="12C82E55">
      <w:pPr>
        <w:spacing w:line="400" w:lineRule="exact"/>
        <w:jc w:val="left"/>
        <w:rPr>
          <w:b/>
        </w:rPr>
      </w:pPr>
      <w:r>
        <w:rPr>
          <w:rFonts w:hint="eastAsia"/>
          <w:b/>
        </w:rPr>
        <w:t>（3）</w:t>
      </w:r>
      <w:r>
        <w:rPr>
          <w:rFonts w:hint="eastAsia"/>
          <w:b/>
          <w:u w:val="single"/>
        </w:rPr>
        <w:t>×</w:t>
      </w:r>
      <w:r>
        <w:rPr>
          <w:rFonts w:hint="eastAsia"/>
          <w:b/>
        </w:rPr>
        <w:t>月末结清（现款</w:t>
      </w:r>
      <w:r>
        <w:rPr>
          <w:rFonts w:hint="eastAsia"/>
          <w:b/>
          <w:u w:val="single"/>
        </w:rPr>
        <w:t>×</w:t>
      </w:r>
      <w:r>
        <w:rPr>
          <w:rFonts w:hint="eastAsia"/>
          <w:b/>
          <w:szCs w:val="21"/>
        </w:rPr>
        <w:t>、承兑</w:t>
      </w:r>
      <w:r>
        <w:rPr>
          <w:rFonts w:hint="eastAsia"/>
          <w:b/>
          <w:u w:val="single"/>
        </w:rPr>
        <w:t>×</w:t>
      </w:r>
      <w:r>
        <w:rPr>
          <w:rFonts w:hint="eastAsia"/>
          <w:b/>
        </w:rPr>
        <w:t>）</w:t>
      </w:r>
      <w:r>
        <w:rPr>
          <w:b/>
        </w:rPr>
        <w:t>；</w:t>
      </w:r>
    </w:p>
    <w:p w14:paraId="55BC1F6F">
      <w:pPr>
        <w:spacing w:line="400" w:lineRule="exact"/>
        <w:jc w:val="left"/>
        <w:rPr>
          <w:b/>
        </w:rPr>
      </w:pPr>
      <w:r>
        <w:rPr>
          <w:b/>
        </w:rPr>
        <w:t>（4）数量按照</w:t>
      </w:r>
      <w:r>
        <w:rPr>
          <w:rFonts w:hint="eastAsia"/>
          <w:b/>
          <w:lang w:eastAsia="zh-CN"/>
        </w:rPr>
        <w:t>供方地磅</w:t>
      </w:r>
      <w:r>
        <w:rPr>
          <w:b/>
        </w:rPr>
        <w:t>过磅净重结算（每吨需扣除9KG包装袋重量）；</w:t>
      </w:r>
    </w:p>
    <w:p w14:paraId="47129E88">
      <w:pPr>
        <w:spacing w:line="400" w:lineRule="exact"/>
        <w:jc w:val="left"/>
        <w:rPr>
          <w:b/>
        </w:rPr>
      </w:pPr>
      <w:r>
        <w:rPr>
          <w:rFonts w:hint="eastAsia"/>
          <w:b/>
        </w:rPr>
        <w:t>五、货物安全责任、风险转移：</w:t>
      </w:r>
    </w:p>
    <w:p w14:paraId="380765DE">
      <w:pPr>
        <w:spacing w:line="400" w:lineRule="exact"/>
        <w:jc w:val="left"/>
        <w:rPr>
          <w:b/>
        </w:rPr>
      </w:pPr>
      <w:r>
        <w:rPr>
          <w:rFonts w:hint="eastAsia"/>
          <w:b/>
        </w:rPr>
        <w:t>（一）出厂价结算方式货物安全责任、风险转移：</w:t>
      </w:r>
    </w:p>
    <w:p w14:paraId="1CA2BFD8">
      <w:pPr>
        <w:spacing w:line="400" w:lineRule="exact"/>
        <w:jc w:val="left"/>
        <w:rPr>
          <w:b/>
        </w:rPr>
      </w:pPr>
      <w:r>
        <w:rPr>
          <w:rFonts w:hint="eastAsia"/>
          <w:b/>
        </w:rPr>
        <w:t>（1）货物由供方工厂人员操作装车设备负责装车，需方自提车辆随行人员操作车辆设备协助、配合装车。</w:t>
      </w:r>
    </w:p>
    <w:p w14:paraId="5738A3FC">
      <w:pPr>
        <w:spacing w:line="400" w:lineRule="exact"/>
        <w:jc w:val="left"/>
        <w:rPr>
          <w:b/>
        </w:rPr>
      </w:pPr>
      <w:r>
        <w:rPr>
          <w:rFonts w:hint="eastAsia"/>
          <w:b/>
        </w:rPr>
        <w:t>（2）装车完毕后</w:t>
      </w:r>
      <w:r>
        <w:rPr>
          <w:rFonts w:hint="eastAsia"/>
          <w:b/>
          <w:lang w:val="en-US" w:eastAsia="zh-CN"/>
        </w:rPr>
        <w:t>即视为交付完成</w:t>
      </w:r>
      <w:r>
        <w:rPr>
          <w:rFonts w:hint="eastAsia"/>
          <w:b/>
        </w:rPr>
        <w:t>，需方自提车辆随行人员对装车情况进行检查、验收，需方自提车辆出厂后的一切安全责任由需方承担，货物风险自出厂后转移给</w:t>
      </w:r>
      <w:r>
        <w:rPr>
          <w:rFonts w:hint="eastAsia"/>
          <w:b/>
          <w:lang w:val="en-US" w:eastAsia="zh-CN"/>
        </w:rPr>
        <w:t>需方</w:t>
      </w:r>
      <w:r>
        <w:rPr>
          <w:rFonts w:hint="eastAsia"/>
          <w:b/>
        </w:rPr>
        <w:t>。</w:t>
      </w:r>
    </w:p>
    <w:p w14:paraId="5614A64F">
      <w:pPr>
        <w:spacing w:line="400" w:lineRule="exact"/>
        <w:jc w:val="left"/>
        <w:rPr>
          <w:b/>
        </w:rPr>
      </w:pPr>
      <w:r>
        <w:rPr>
          <w:rFonts w:hint="eastAsia"/>
          <w:b/>
        </w:rPr>
        <w:t>（二）“一票制”（货款+运费）结算方式货物安全责任、风险转移：</w:t>
      </w:r>
    </w:p>
    <w:p w14:paraId="1040AEC6">
      <w:pPr>
        <w:spacing w:line="400" w:lineRule="exact"/>
        <w:jc w:val="left"/>
        <w:rPr>
          <w:b/>
        </w:rPr>
      </w:pPr>
      <w:r>
        <w:rPr>
          <w:rFonts w:hint="eastAsia"/>
          <w:b/>
        </w:rPr>
        <w:t>（1）货物由供方工厂人员操作装车设备负责装车，运输单位车辆随行人员操作车辆设备协助、配合装车。</w:t>
      </w:r>
    </w:p>
    <w:p w14:paraId="3CAB868F">
      <w:pPr>
        <w:spacing w:line="400" w:lineRule="exact"/>
        <w:jc w:val="left"/>
        <w:rPr>
          <w:b/>
        </w:rPr>
      </w:pPr>
      <w:r>
        <w:rPr>
          <w:rFonts w:hint="eastAsia"/>
          <w:b/>
        </w:rPr>
        <w:t>（2）装车完毕后</w:t>
      </w:r>
      <w:r>
        <w:rPr>
          <w:rFonts w:hint="eastAsia"/>
          <w:b/>
          <w:lang w:val="en-US" w:eastAsia="zh-CN"/>
        </w:rPr>
        <w:t>即视为交付完成</w:t>
      </w:r>
      <w:r>
        <w:rPr>
          <w:rFonts w:hint="eastAsia"/>
          <w:b/>
        </w:rPr>
        <w:t>，运输单位车辆随行人员对装车情况进行检查、验收，运输单位车辆出厂后至目的地卸车前的一切安全责任由运输单位承担，货物风险自出厂后转移给运输单位。</w:t>
      </w:r>
    </w:p>
    <w:p w14:paraId="59930FD8">
      <w:pPr>
        <w:spacing w:line="400" w:lineRule="exact"/>
        <w:jc w:val="left"/>
        <w:rPr>
          <w:b/>
        </w:rPr>
      </w:pPr>
      <w:r>
        <w:rPr>
          <w:rFonts w:hint="eastAsia"/>
          <w:b/>
        </w:rPr>
        <w:t>（3）运输单位车辆运抵目的地后，货物由运输单位车辆随行人员操作车辆设备负责卸车，需方人员操作货物接收设备协助、配合卸车</w:t>
      </w:r>
      <w:r>
        <w:rPr>
          <w:rFonts w:hint="eastAsia"/>
          <w:b/>
          <w:lang w:val="en-US" w:eastAsia="zh-CN"/>
        </w:rPr>
        <w:t>；若因需方原因，导致货物迟延卸车的，一切风险由需方自担。</w:t>
      </w:r>
    </w:p>
    <w:p w14:paraId="7E978641">
      <w:pPr>
        <w:spacing w:line="440" w:lineRule="exact"/>
        <w:jc w:val="left"/>
        <w:rPr>
          <w:b/>
        </w:rPr>
      </w:pPr>
      <w:r>
        <w:rPr>
          <w:rFonts w:hint="eastAsia"/>
          <w:b/>
        </w:rPr>
        <w:t>六、包装标准，包装物：（</w:t>
      </w:r>
      <w:r>
        <w:rPr>
          <w:b/>
        </w:rPr>
        <w:t>1</w:t>
      </w:r>
      <w:r>
        <w:rPr>
          <w:rFonts w:hint="eastAsia"/>
          <w:b/>
        </w:rPr>
        <w:t>）按供方规格、标准包装，包装物不回收。</w:t>
      </w:r>
    </w:p>
    <w:p w14:paraId="528D1A6B">
      <w:pPr>
        <w:spacing w:line="440" w:lineRule="exact"/>
        <w:jc w:val="left"/>
        <w:rPr>
          <w:b/>
        </w:rPr>
      </w:pPr>
      <w:r>
        <w:rPr>
          <w:rFonts w:hint="eastAsia"/>
          <w:b/>
        </w:rPr>
        <w:t>（2）需方应妥善处置不可回收包装物，避免对环境、安全产生影响。</w:t>
      </w:r>
    </w:p>
    <w:p w14:paraId="26389B7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eastAsia="宋体"/>
          <w:b/>
          <w:lang w:eastAsia="zh-CN"/>
        </w:rPr>
      </w:pPr>
      <w:r>
        <w:rPr>
          <w:rFonts w:hint="eastAsia"/>
          <w:b/>
        </w:rPr>
        <w:t>七、验收标准、方法及提出异议期限：需方按供方提供的</w:t>
      </w:r>
      <w:r>
        <w:rPr>
          <w:rFonts w:hint="eastAsia"/>
          <w:b/>
          <w:lang w:eastAsia="zh-CN"/>
        </w:rPr>
        <w:t>产品检验报告</w:t>
      </w:r>
      <w:r>
        <w:rPr>
          <w:rFonts w:hint="eastAsia"/>
          <w:b/>
        </w:rPr>
        <w:t>进行验收，数量</w:t>
      </w:r>
      <w:r>
        <w:rPr>
          <w:rFonts w:hint="eastAsia"/>
          <w:b/>
          <w:lang w:eastAsia="zh-CN"/>
        </w:rPr>
        <w:t>按</w:t>
      </w:r>
    </w:p>
    <w:p w14:paraId="36C7F439">
      <w:pPr>
        <w:keepNext w:val="0"/>
        <w:keepLines w:val="0"/>
        <w:pageBreakBefore w:val="0"/>
        <w:widowControl w:val="0"/>
        <w:kinsoku/>
        <w:wordWrap/>
        <w:overflowPunct/>
        <w:topLinePunct w:val="0"/>
        <w:autoSpaceDE/>
        <w:autoSpaceDN/>
        <w:bidi w:val="0"/>
        <w:adjustRightInd/>
        <w:snapToGrid/>
        <w:spacing w:line="400" w:lineRule="exact"/>
        <w:jc w:val="left"/>
        <w:textAlignment w:val="auto"/>
        <w:rPr>
          <w:b/>
        </w:rPr>
      </w:pPr>
      <w:r>
        <w:rPr>
          <w:rFonts w:hint="eastAsia"/>
          <w:b/>
        </w:rPr>
        <w:t>供方提供的</w:t>
      </w:r>
      <w:r>
        <w:rPr>
          <w:rFonts w:hint="eastAsia"/>
          <w:b/>
          <w:lang w:eastAsia="zh-CN"/>
        </w:rPr>
        <w:t>过磅</w:t>
      </w:r>
      <w:r>
        <w:rPr>
          <w:rFonts w:hint="eastAsia"/>
          <w:b/>
        </w:rPr>
        <w:t>单据进行验收，如有异议，需方应在货物到达后一周内用书面形式向供</w:t>
      </w:r>
      <w:r>
        <w:rPr>
          <w:rFonts w:hint="eastAsia"/>
          <w:b/>
          <w:lang w:eastAsia="zh-CN"/>
        </w:rPr>
        <w:t>方</w:t>
      </w:r>
      <w:r>
        <w:rPr>
          <w:rFonts w:hint="eastAsia"/>
          <w:b/>
        </w:rPr>
        <w:t>提出，逾期视为验收合格。</w:t>
      </w:r>
    </w:p>
    <w:p w14:paraId="73FFAB50">
      <w:pPr>
        <w:keepNext w:val="0"/>
        <w:keepLines w:val="0"/>
        <w:pageBreakBefore w:val="0"/>
        <w:widowControl w:val="0"/>
        <w:kinsoku/>
        <w:wordWrap/>
        <w:overflowPunct/>
        <w:topLinePunct w:val="0"/>
        <w:autoSpaceDE/>
        <w:autoSpaceDN/>
        <w:bidi w:val="0"/>
        <w:adjustRightInd/>
        <w:snapToGrid/>
        <w:spacing w:line="400" w:lineRule="exact"/>
        <w:jc w:val="left"/>
        <w:textAlignment w:val="auto"/>
        <w:rPr>
          <w:b/>
        </w:rPr>
      </w:pPr>
      <w:r>
        <w:rPr>
          <w:rFonts w:hint="eastAsia"/>
          <w:b/>
        </w:rPr>
        <w:t>八、违约责任：（</w:t>
      </w:r>
      <w:r>
        <w:rPr>
          <w:b/>
        </w:rPr>
        <w:t>1</w:t>
      </w:r>
      <w:r>
        <w:rPr>
          <w:rFonts w:hint="eastAsia"/>
          <w:b/>
        </w:rPr>
        <w:t>）供方如承担赔偿责任的，仅限于需方的直接损失，并且不超过所涉及产品的价值。</w:t>
      </w:r>
    </w:p>
    <w:p w14:paraId="028AE179">
      <w:pPr>
        <w:keepNext w:val="0"/>
        <w:keepLines w:val="0"/>
        <w:pageBreakBefore w:val="0"/>
        <w:widowControl w:val="0"/>
        <w:kinsoku/>
        <w:wordWrap/>
        <w:overflowPunct/>
        <w:topLinePunct w:val="0"/>
        <w:autoSpaceDE/>
        <w:autoSpaceDN/>
        <w:bidi w:val="0"/>
        <w:adjustRightInd/>
        <w:snapToGrid/>
        <w:spacing w:line="400" w:lineRule="exact"/>
        <w:jc w:val="left"/>
        <w:textAlignment w:val="auto"/>
        <w:rPr>
          <w:b/>
        </w:rPr>
      </w:pPr>
      <w:r>
        <w:rPr>
          <w:rFonts w:hint="eastAsia"/>
          <w:b/>
        </w:rPr>
        <w:t>（2）需方</w:t>
      </w:r>
      <w:r>
        <w:rPr>
          <w:rFonts w:hint="eastAsia"/>
          <w:b/>
          <w:szCs w:val="21"/>
        </w:rPr>
        <w:t>逾期支付货款每日按未支付货款的万分之五支付违约金。</w:t>
      </w:r>
    </w:p>
    <w:p w14:paraId="5A408609">
      <w:pPr>
        <w:keepNext w:val="0"/>
        <w:keepLines w:val="0"/>
        <w:pageBreakBefore w:val="0"/>
        <w:widowControl w:val="0"/>
        <w:kinsoku/>
        <w:wordWrap/>
        <w:overflowPunct/>
        <w:topLinePunct w:val="0"/>
        <w:autoSpaceDE/>
        <w:autoSpaceDN/>
        <w:bidi w:val="0"/>
        <w:adjustRightInd/>
        <w:snapToGrid/>
        <w:spacing w:line="400" w:lineRule="exact"/>
        <w:jc w:val="left"/>
        <w:textAlignment w:val="auto"/>
        <w:rPr>
          <w:b/>
        </w:rPr>
      </w:pPr>
      <w:r>
        <w:rPr>
          <w:rFonts w:hint="eastAsia"/>
          <w:b/>
        </w:rPr>
        <w:t>九、本合同在履行过程中发生争议，由当事人双方协商解决，协商不成，向合同签订地人民法院起诉。</w:t>
      </w:r>
    </w:p>
    <w:p w14:paraId="0F2718D3">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b/>
        </w:rPr>
      </w:pPr>
      <w:r>
        <w:rPr>
          <w:rFonts w:hint="eastAsia"/>
          <w:b/>
        </w:rPr>
        <w:t>十、安全、环保事项：</w:t>
      </w:r>
    </w:p>
    <w:p w14:paraId="676E0E9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rPr>
      </w:pPr>
      <w:r>
        <w:rPr>
          <w:rFonts w:hint="eastAsia"/>
          <w:b/>
        </w:rPr>
        <w:t>（</w:t>
      </w:r>
      <w:r>
        <w:rPr>
          <w:b/>
        </w:rPr>
        <w:t>1</w:t>
      </w:r>
      <w:r>
        <w:rPr>
          <w:rFonts w:hint="eastAsia"/>
          <w:b/>
        </w:rPr>
        <w:t>）运输单位车辆、自提车辆须“五证”齐全，进入巨化集团公司界区，应自觉遵守巨化集团公司安全、环境管理相关规定</w:t>
      </w:r>
      <w:r>
        <w:rPr>
          <w:rFonts w:hint="eastAsia"/>
          <w:b/>
          <w:lang w:eastAsia="zh-CN"/>
        </w:rPr>
        <w:t>；</w:t>
      </w:r>
      <w:r>
        <w:rPr>
          <w:rFonts w:hint="eastAsia"/>
          <w:b/>
          <w:lang w:val="en-US" w:eastAsia="zh-CN"/>
        </w:rPr>
        <w:t>运输单位车辆、自提车辆因自身原因导致自身或者第三方发生财产损失、人身损害的，由运输单位车辆、自提车辆自行承担相关责任，与供方无涉。若因运输单位车辆、自提车辆怠于处理纠纷，导致供方代为垫付的，供方有权依法追偿。</w:t>
      </w:r>
    </w:p>
    <w:p w14:paraId="7DD946FC">
      <w:pPr>
        <w:keepNext w:val="0"/>
        <w:keepLines w:val="0"/>
        <w:pageBreakBefore w:val="0"/>
        <w:widowControl w:val="0"/>
        <w:kinsoku/>
        <w:wordWrap/>
        <w:overflowPunct/>
        <w:topLinePunct w:val="0"/>
        <w:autoSpaceDE/>
        <w:autoSpaceDN/>
        <w:bidi w:val="0"/>
        <w:adjustRightInd/>
        <w:snapToGrid/>
        <w:spacing w:line="340" w:lineRule="exact"/>
        <w:jc w:val="left"/>
        <w:textAlignment w:val="auto"/>
        <w:rPr>
          <w:b/>
          <w:szCs w:val="21"/>
        </w:rPr>
      </w:pPr>
      <w:r>
        <w:rPr>
          <w:rFonts w:hint="eastAsia"/>
          <w:b/>
          <w:lang w:eastAsia="zh-CN"/>
        </w:rPr>
        <w:t>（</w:t>
      </w:r>
      <w:r>
        <w:rPr>
          <w:rFonts w:hint="eastAsia"/>
          <w:b/>
        </w:rPr>
        <w:t>2）</w:t>
      </w:r>
      <w:r>
        <w:rPr>
          <w:rFonts w:hint="eastAsia"/>
          <w:b/>
          <w:spacing w:val="-4"/>
          <w:szCs w:val="21"/>
        </w:rPr>
        <w:t>自提车辆、</w:t>
      </w:r>
      <w:r>
        <w:rPr>
          <w:rFonts w:hint="eastAsia"/>
          <w:b/>
        </w:rPr>
        <w:t>运输单位车辆</w:t>
      </w:r>
      <w:r>
        <w:rPr>
          <w:rFonts w:hint="eastAsia"/>
          <w:b/>
          <w:spacing w:val="-4"/>
          <w:szCs w:val="21"/>
        </w:rPr>
        <w:t>在装卸、搬运过程中，如需清洗车辆应避免环境污染。</w:t>
      </w:r>
    </w:p>
    <w:p w14:paraId="6B9994B4">
      <w:pPr>
        <w:keepNext w:val="0"/>
        <w:keepLines w:val="0"/>
        <w:pageBreakBefore w:val="0"/>
        <w:widowControl w:val="0"/>
        <w:kinsoku/>
        <w:wordWrap/>
        <w:overflowPunct/>
        <w:topLinePunct w:val="0"/>
        <w:autoSpaceDE/>
        <w:autoSpaceDN/>
        <w:bidi w:val="0"/>
        <w:adjustRightInd/>
        <w:snapToGrid/>
        <w:spacing w:line="400" w:lineRule="exact"/>
        <w:jc w:val="left"/>
        <w:textAlignment w:val="auto"/>
        <w:rPr>
          <w:b/>
        </w:rPr>
      </w:pPr>
      <w:r>
        <w:rPr>
          <w:rFonts w:hint="eastAsia"/>
          <w:b/>
        </w:rPr>
        <w:t>十一、</w:t>
      </w:r>
      <w:r>
        <w:rPr>
          <w:rFonts w:hint="eastAsia" w:ascii="宋体"/>
          <w:b/>
          <w:szCs w:val="21"/>
        </w:rPr>
        <w:t>本合同依法签订，经供需双方</w:t>
      </w:r>
      <w:r>
        <w:rPr>
          <w:rFonts w:hint="eastAsia" w:ascii="宋体"/>
          <w:b/>
          <w:szCs w:val="21"/>
          <w:lang w:eastAsia="zh-CN"/>
        </w:rPr>
        <w:t>签字、盖章</w:t>
      </w:r>
      <w:r>
        <w:rPr>
          <w:rFonts w:hint="eastAsia" w:ascii="宋体"/>
          <w:b/>
          <w:szCs w:val="21"/>
        </w:rPr>
        <w:t>后生效，合同</w:t>
      </w:r>
      <w:r>
        <w:rPr>
          <w:rFonts w:hint="eastAsia"/>
          <w:b/>
        </w:rPr>
        <w:t>一式二份，供方、需方各执一份。</w:t>
      </w:r>
    </w:p>
    <w:p w14:paraId="1149710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b/>
          <w:szCs w:val="21"/>
        </w:rPr>
      </w:pPr>
      <w:r>
        <w:rPr>
          <w:rFonts w:hint="eastAsia"/>
          <w:b/>
        </w:rPr>
        <w:t>十二、未尽事宜另行协商签订补充协议，双方</w:t>
      </w:r>
      <w:r>
        <w:rPr>
          <w:rFonts w:hint="eastAsia" w:ascii="宋体"/>
          <w:b/>
          <w:szCs w:val="21"/>
          <w:lang w:eastAsia="zh-CN"/>
        </w:rPr>
        <w:t>签字盖章</w:t>
      </w:r>
      <w:r>
        <w:rPr>
          <w:rFonts w:hint="eastAsia" w:ascii="宋体"/>
          <w:b/>
          <w:szCs w:val="21"/>
        </w:rPr>
        <w:t>，与合同具有同等法律效力。</w:t>
      </w:r>
    </w:p>
    <w:p w14:paraId="0508ED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eastAsia="宋体"/>
          <w:b/>
          <w:szCs w:val="21"/>
          <w:lang w:eastAsia="zh-CN"/>
        </w:rPr>
      </w:pPr>
      <w:r>
        <w:rPr>
          <w:rFonts w:hint="eastAsia" w:ascii="宋体"/>
          <w:b/>
          <w:szCs w:val="21"/>
          <w:lang w:eastAsia="zh-CN"/>
        </w:rPr>
        <w:t>十三、其他：无</w:t>
      </w:r>
    </w:p>
    <w:tbl>
      <w:tblPr>
        <w:tblStyle w:val="8"/>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6"/>
        <w:gridCol w:w="4877"/>
      </w:tblGrid>
      <w:tr w14:paraId="33B21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3" w:hRule="atLeast"/>
        </w:trPr>
        <w:tc>
          <w:tcPr>
            <w:tcW w:w="4786" w:type="dxa"/>
            <w:noWrap w:val="0"/>
            <w:vAlign w:val="top"/>
          </w:tcPr>
          <w:p w14:paraId="164044D9">
            <w:pPr>
              <w:spacing w:line="500" w:lineRule="exact"/>
              <w:jc w:val="left"/>
              <w:rPr>
                <w:b/>
              </w:rPr>
            </w:pPr>
            <w:r>
              <w:rPr>
                <w:rFonts w:hint="eastAsia"/>
                <w:b/>
              </w:rPr>
              <w:t>供方</w:t>
            </w:r>
          </w:p>
          <w:p w14:paraId="5200D104">
            <w:pPr>
              <w:spacing w:line="500" w:lineRule="exact"/>
              <w:jc w:val="left"/>
              <w:rPr>
                <w:b/>
              </w:rPr>
            </w:pPr>
            <w:r>
              <w:rPr>
                <w:rFonts w:hint="eastAsia"/>
                <w:b/>
              </w:rPr>
              <w:t>单位名称（章）：</w:t>
            </w:r>
            <w:r>
              <w:rPr>
                <w:rFonts w:hint="eastAsia"/>
                <w:bCs/>
                <w:szCs w:val="21"/>
              </w:rPr>
              <w:t>衢州巨化锦纶有限责任公司</w:t>
            </w:r>
          </w:p>
          <w:p w14:paraId="7341C617">
            <w:pPr>
              <w:spacing w:line="500" w:lineRule="exact"/>
              <w:jc w:val="left"/>
              <w:rPr>
                <w:b/>
              </w:rPr>
            </w:pPr>
            <w:r>
              <w:rPr>
                <w:rFonts w:hint="eastAsia"/>
                <w:b/>
              </w:rPr>
              <w:t>通讯地址：</w:t>
            </w:r>
            <w:r>
              <w:rPr>
                <w:rFonts w:hint="eastAsia"/>
                <w:szCs w:val="21"/>
              </w:rPr>
              <w:t>浙江省衢州市柯城区巨化北二道56号</w:t>
            </w:r>
          </w:p>
          <w:p w14:paraId="4427C8BA">
            <w:pPr>
              <w:spacing w:line="500" w:lineRule="exact"/>
              <w:jc w:val="left"/>
              <w:rPr>
                <w:b/>
              </w:rPr>
            </w:pPr>
            <w:r>
              <w:rPr>
                <w:rFonts w:hint="eastAsia"/>
                <w:b/>
              </w:rPr>
              <w:t>委托代理人：</w:t>
            </w:r>
          </w:p>
          <w:p w14:paraId="5AC406B2">
            <w:pPr>
              <w:spacing w:line="500" w:lineRule="exact"/>
              <w:jc w:val="left"/>
              <w:rPr>
                <w:b/>
              </w:rPr>
            </w:pPr>
            <w:r>
              <w:rPr>
                <w:rFonts w:hint="eastAsia"/>
                <w:b/>
              </w:rPr>
              <w:t>联系电话：</w:t>
            </w:r>
            <w:r>
              <w:rPr>
                <w:rFonts w:hint="eastAsia"/>
                <w:szCs w:val="21"/>
              </w:rPr>
              <w:t>0570-3097349  3095295</w:t>
            </w:r>
          </w:p>
          <w:p w14:paraId="017558B9">
            <w:pPr>
              <w:spacing w:line="500" w:lineRule="exact"/>
              <w:jc w:val="left"/>
              <w:rPr>
                <w:b/>
              </w:rPr>
            </w:pPr>
            <w:r>
              <w:rPr>
                <w:rFonts w:hint="eastAsia"/>
                <w:b/>
              </w:rPr>
              <w:t>结算户名：</w:t>
            </w:r>
            <w:r>
              <w:rPr>
                <w:rFonts w:hint="eastAsia"/>
                <w:bCs/>
                <w:szCs w:val="21"/>
              </w:rPr>
              <w:t>衢州巨化锦纶有限责任公司</w:t>
            </w:r>
          </w:p>
          <w:p w14:paraId="116E232F">
            <w:pPr>
              <w:spacing w:line="500" w:lineRule="exact"/>
              <w:jc w:val="left"/>
              <w:rPr>
                <w:b/>
              </w:rPr>
            </w:pPr>
            <w:r>
              <w:rPr>
                <w:rFonts w:hint="eastAsia"/>
                <w:b/>
              </w:rPr>
              <w:t>开户银行：</w:t>
            </w:r>
            <w:r>
              <w:rPr>
                <w:rFonts w:hint="eastAsia"/>
                <w:szCs w:val="21"/>
              </w:rPr>
              <w:t>建设银行衢化支行</w:t>
            </w:r>
          </w:p>
          <w:p w14:paraId="7DC8D50D">
            <w:pPr>
              <w:spacing w:line="500" w:lineRule="exact"/>
              <w:jc w:val="left"/>
              <w:rPr>
                <w:b/>
              </w:rPr>
            </w:pPr>
            <w:r>
              <w:rPr>
                <w:rFonts w:hint="eastAsia"/>
                <w:b/>
              </w:rPr>
              <w:t>帐号：</w:t>
            </w:r>
            <w:r>
              <w:rPr>
                <w:szCs w:val="21"/>
              </w:rPr>
              <w:t>33001685200050002811</w:t>
            </w:r>
          </w:p>
        </w:tc>
        <w:tc>
          <w:tcPr>
            <w:tcW w:w="4877" w:type="dxa"/>
            <w:noWrap w:val="0"/>
            <w:vAlign w:val="top"/>
          </w:tcPr>
          <w:p w14:paraId="452763B0">
            <w:pPr>
              <w:spacing w:line="500" w:lineRule="exact"/>
              <w:jc w:val="left"/>
              <w:rPr>
                <w:rFonts w:hint="eastAsia"/>
                <w:b/>
                <w:lang w:eastAsia="zh-CN"/>
              </w:rPr>
            </w:pPr>
            <w:r>
              <w:rPr>
                <w:rFonts w:hint="eastAsia"/>
                <w:b/>
                <w:lang w:eastAsia="zh-CN"/>
              </w:rPr>
              <w:t>需方</w:t>
            </w:r>
          </w:p>
          <w:p w14:paraId="6757D437">
            <w:pPr>
              <w:spacing w:line="500" w:lineRule="exact"/>
              <w:jc w:val="left"/>
              <w:rPr>
                <w:b/>
              </w:rPr>
            </w:pPr>
            <w:r>
              <w:rPr>
                <w:rFonts w:hint="eastAsia"/>
                <w:b/>
              </w:rPr>
              <w:t>单位名称（章）：</w:t>
            </w:r>
          </w:p>
          <w:p w14:paraId="79DE6883">
            <w:pPr>
              <w:spacing w:line="500" w:lineRule="exact"/>
              <w:jc w:val="left"/>
              <w:rPr>
                <w:b/>
              </w:rPr>
            </w:pPr>
            <w:r>
              <w:rPr>
                <w:rFonts w:hint="eastAsia"/>
                <w:b/>
              </w:rPr>
              <w:t>通讯地址：</w:t>
            </w:r>
          </w:p>
          <w:p w14:paraId="078C255A">
            <w:pPr>
              <w:spacing w:line="500" w:lineRule="exact"/>
              <w:jc w:val="left"/>
              <w:rPr>
                <w:b/>
              </w:rPr>
            </w:pPr>
            <w:r>
              <w:rPr>
                <w:rFonts w:hint="eastAsia"/>
                <w:b/>
              </w:rPr>
              <w:t>委托代理人：</w:t>
            </w:r>
          </w:p>
          <w:p w14:paraId="59EC0343">
            <w:pPr>
              <w:spacing w:line="500" w:lineRule="exact"/>
              <w:jc w:val="left"/>
              <w:rPr>
                <w:b/>
              </w:rPr>
            </w:pPr>
            <w:r>
              <w:rPr>
                <w:rFonts w:hint="eastAsia"/>
                <w:b/>
              </w:rPr>
              <w:t>联系电话：</w:t>
            </w:r>
          </w:p>
          <w:p w14:paraId="38A237A3">
            <w:pPr>
              <w:spacing w:line="500" w:lineRule="exact"/>
              <w:jc w:val="left"/>
              <w:rPr>
                <w:b/>
              </w:rPr>
            </w:pPr>
            <w:r>
              <w:rPr>
                <w:rFonts w:hint="eastAsia"/>
                <w:b/>
              </w:rPr>
              <w:t>结算户名：</w:t>
            </w:r>
          </w:p>
          <w:p w14:paraId="32CAE703">
            <w:pPr>
              <w:spacing w:line="500" w:lineRule="exact"/>
              <w:jc w:val="left"/>
              <w:rPr>
                <w:b/>
              </w:rPr>
            </w:pPr>
            <w:r>
              <w:rPr>
                <w:rFonts w:hint="eastAsia"/>
                <w:b/>
              </w:rPr>
              <w:t>开户银行：</w:t>
            </w:r>
          </w:p>
          <w:p w14:paraId="44330689">
            <w:pPr>
              <w:adjustRightInd w:val="0"/>
              <w:snapToGrid w:val="0"/>
              <w:spacing w:line="480" w:lineRule="auto"/>
              <w:jc w:val="left"/>
              <w:rPr>
                <w:b/>
                <w:szCs w:val="21"/>
              </w:rPr>
            </w:pPr>
            <w:r>
              <w:rPr>
                <w:rFonts w:hint="eastAsia"/>
                <w:b/>
              </w:rPr>
              <w:t>帐号：</w:t>
            </w:r>
          </w:p>
        </w:tc>
      </w:tr>
    </w:tbl>
    <w:p w14:paraId="7FF1D89F">
      <w:pPr>
        <w:widowControl/>
        <w:rPr>
          <w:rFonts w:hint="default" w:eastAsia="宋体"/>
          <w:b/>
          <w:bCs/>
          <w:color w:val="FF0000"/>
          <w:sz w:val="28"/>
          <w:szCs w:val="32"/>
          <w:lang w:val="en-US" w:eastAsia="zh-CN"/>
        </w:rPr>
      </w:pPr>
      <w:r>
        <w:rPr>
          <w:rFonts w:hint="eastAsia"/>
          <w:b/>
          <w:bCs/>
          <w:color w:val="FF0000"/>
          <w:sz w:val="28"/>
          <w:szCs w:val="32"/>
          <w:lang w:eastAsia="zh-CN"/>
        </w:rPr>
        <w:t>附件</w:t>
      </w:r>
      <w:r>
        <w:rPr>
          <w:rFonts w:hint="eastAsia"/>
          <w:b/>
          <w:bCs/>
          <w:color w:val="FF0000"/>
          <w:sz w:val="28"/>
          <w:szCs w:val="32"/>
          <w:lang w:val="en-US" w:eastAsia="zh-CN"/>
        </w:rPr>
        <w:t>2.</w:t>
      </w:r>
    </w:p>
    <w:p w14:paraId="289BD859">
      <w:pPr>
        <w:widowControl/>
        <w:rPr>
          <w:rFonts w:hint="default" w:ascii="宋体" w:hAnsi="宋体" w:eastAsia="宋体" w:cs="宋体"/>
          <w:color w:val="auto"/>
          <w:sz w:val="24"/>
          <w:szCs w:val="24"/>
          <w:lang w:val="en-US" w:eastAsia="zh-CN"/>
        </w:rPr>
      </w:pPr>
      <w:r>
        <w:drawing>
          <wp:inline distT="0" distB="0" distL="114300" distR="114300">
            <wp:extent cx="5270500" cy="6476365"/>
            <wp:effectExtent l="0" t="0" r="635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0500" cy="6476365"/>
                    </a:xfrm>
                    <a:prstGeom prst="rect">
                      <a:avLst/>
                    </a:prstGeom>
                    <a:noFill/>
                    <a:ln>
                      <a:noFill/>
                    </a:ln>
                  </pic:spPr>
                </pic:pic>
              </a:graphicData>
            </a:graphic>
          </wp:inline>
        </w:drawing>
      </w:r>
    </w:p>
    <w:sectPr>
      <w:footerReference r:id="rId3" w:type="default"/>
      <w:pgSz w:w="11906" w:h="16838"/>
      <w:pgMar w:top="850" w:right="1800" w:bottom="850" w:left="1800" w:header="851" w:footer="992" w:gutter="0"/>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96010"/>
      <w:docPartList>
        <w:docPartGallery w:val="autotext"/>
      </w:docPartList>
    </w:sdtPr>
    <w:sdtContent>
      <w:p w14:paraId="11A5AB26">
        <w:pPr>
          <w:pStyle w:val="6"/>
          <w:jc w:val="right"/>
        </w:pPr>
        <w:r>
          <w:fldChar w:fldCharType="begin"/>
        </w:r>
        <w:r>
          <w:instrText xml:space="preserve"> PAGE   \* MERGEFORMAT </w:instrText>
        </w:r>
        <w:r>
          <w:fldChar w:fldCharType="separate"/>
        </w:r>
        <w:r>
          <w:rPr>
            <w:lang w:val="zh-CN"/>
          </w:rPr>
          <w:t>1</w:t>
        </w:r>
        <w:r>
          <w:rPr>
            <w:lang w:val="zh-CN"/>
          </w:rPr>
          <w:fldChar w:fldCharType="end"/>
        </w:r>
      </w:p>
    </w:sdtContent>
  </w:sdt>
  <w:p w14:paraId="460383F8">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A6BC"/>
    <w:multiLevelType w:val="singleLevel"/>
    <w:tmpl w:val="2695A6BC"/>
    <w:lvl w:ilvl="0" w:tentative="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ODIwZmU0NTkxMWFiMzc5YmNhMjc2MTU4MmMwODg2MWIifQ=="/>
  </w:docVars>
  <w:rsids>
    <w:rsidRoot w:val="00000000"/>
    <w:rsid w:val="00D43022"/>
    <w:rsid w:val="012421AC"/>
    <w:rsid w:val="01DB72D1"/>
    <w:rsid w:val="04630D11"/>
    <w:rsid w:val="04DD475A"/>
    <w:rsid w:val="05076697"/>
    <w:rsid w:val="06127CD7"/>
    <w:rsid w:val="06DA53C2"/>
    <w:rsid w:val="08C05EE3"/>
    <w:rsid w:val="0A0D53A6"/>
    <w:rsid w:val="0ADF30FD"/>
    <w:rsid w:val="0E39791B"/>
    <w:rsid w:val="0F4D1DB4"/>
    <w:rsid w:val="0FAE4801"/>
    <w:rsid w:val="14520C23"/>
    <w:rsid w:val="1552378B"/>
    <w:rsid w:val="16841530"/>
    <w:rsid w:val="16AF0BAE"/>
    <w:rsid w:val="1A545C28"/>
    <w:rsid w:val="1BD942BD"/>
    <w:rsid w:val="1BE21353"/>
    <w:rsid w:val="224A0A33"/>
    <w:rsid w:val="268D7140"/>
    <w:rsid w:val="2ADE61BC"/>
    <w:rsid w:val="2D47462E"/>
    <w:rsid w:val="2E9062FE"/>
    <w:rsid w:val="30677248"/>
    <w:rsid w:val="3150593A"/>
    <w:rsid w:val="342D27CD"/>
    <w:rsid w:val="39FF3B21"/>
    <w:rsid w:val="3B49419B"/>
    <w:rsid w:val="3C0B4937"/>
    <w:rsid w:val="3F863778"/>
    <w:rsid w:val="4073495A"/>
    <w:rsid w:val="40B174EA"/>
    <w:rsid w:val="42A94EAA"/>
    <w:rsid w:val="436C03B1"/>
    <w:rsid w:val="44F87390"/>
    <w:rsid w:val="45C764F3"/>
    <w:rsid w:val="46FC4263"/>
    <w:rsid w:val="4B8169C4"/>
    <w:rsid w:val="4F2E29BF"/>
    <w:rsid w:val="4F641CE0"/>
    <w:rsid w:val="50DE71D0"/>
    <w:rsid w:val="52614B76"/>
    <w:rsid w:val="52D335AB"/>
    <w:rsid w:val="53044EE4"/>
    <w:rsid w:val="53C27B7A"/>
    <w:rsid w:val="53D65777"/>
    <w:rsid w:val="559F2C4C"/>
    <w:rsid w:val="56AD68BF"/>
    <w:rsid w:val="599F3B8C"/>
    <w:rsid w:val="59B94F54"/>
    <w:rsid w:val="5A7D0152"/>
    <w:rsid w:val="5D645E26"/>
    <w:rsid w:val="608C5797"/>
    <w:rsid w:val="645D654D"/>
    <w:rsid w:val="666A60B7"/>
    <w:rsid w:val="6730284D"/>
    <w:rsid w:val="6951757E"/>
    <w:rsid w:val="6DE24592"/>
    <w:rsid w:val="73AA52DA"/>
    <w:rsid w:val="740022CC"/>
    <w:rsid w:val="75CA2B92"/>
    <w:rsid w:val="78863D9A"/>
    <w:rsid w:val="78F203FA"/>
    <w:rsid w:val="7ADA489D"/>
    <w:rsid w:val="7B4C585D"/>
    <w:rsid w:val="7ECF1EEA"/>
    <w:rsid w:val="7EE3391D"/>
    <w:rsid w:val="7FB34C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Times New Roman" w:eastAsia="宋体" w:cs="Arial"/>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alloon Text"/>
    <w:basedOn w:val="1"/>
    <w:qFormat/>
    <w:uiPriority w:val="0"/>
    <w:rPr>
      <w:rFonts w:ascii="Times New Roman" w:hAnsi="Times New Roman" w:eastAsia="宋体" w:cs="Times New Roman"/>
      <w:sz w:val="18"/>
      <w:szCs w:val="18"/>
    </w:rPr>
  </w:style>
  <w:style w:type="paragraph" w:styleId="6">
    <w:name w:val="footer"/>
    <w:basedOn w:val="1"/>
    <w:qFormat/>
    <w:uiPriority w:val="0"/>
    <w:pPr>
      <w:tabs>
        <w:tab w:val="center" w:pos="4153"/>
        <w:tab w:val="right" w:pos="8306"/>
      </w:tabs>
      <w:snapToGrid w:val="0"/>
      <w:jc w:val="left"/>
    </w:pPr>
    <w:rPr>
      <w:rFonts w:ascii="Calibri" w:hAnsi="Calibri" w:eastAsia="宋体" w:cs="Calibri"/>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Calibri" w:hAnsi="Calibri" w:eastAsia="宋体" w:cs="Calibri"/>
      <w:sz w:val="18"/>
      <w:szCs w:val="18"/>
    </w:rPr>
  </w:style>
  <w:style w:type="paragraph" w:customStyle="1" w:styleId="10">
    <w:name w:val="默认段落字体 Para Char"/>
    <w:basedOn w:val="1"/>
    <w:qFormat/>
    <w:uiPriority w:val="0"/>
    <w:pPr>
      <w:spacing w:before="50" w:beforeLines="50"/>
    </w:pPr>
    <w:rPr>
      <w:rFonts w:ascii="Tahoma" w:hAnsi="Tahoma" w:eastAsia="宋体" w:cs="Tahoma"/>
      <w:sz w:val="24"/>
      <w:szCs w:val="24"/>
    </w:rPr>
  </w:style>
  <w:style w:type="character" w:customStyle="1" w:styleId="11">
    <w:name w:val="15"/>
    <w:qFormat/>
    <w:uiPriority w:val="0"/>
    <w:rPr>
      <w:rFonts w:ascii="宋体" w:eastAsia="宋体" w:cs="Times New Roman"/>
      <w:spacing w:val="0"/>
      <w:sz w:val="24"/>
      <w:szCs w:val="24"/>
    </w:rPr>
  </w:style>
  <w:style w:type="paragraph" w:customStyle="1" w:styleId="12">
    <w:name w:val="纯文本1"/>
    <w:basedOn w:val="1"/>
    <w:qFormat/>
    <w:uiPriority w:val="0"/>
    <w:pPr>
      <w:widowControl/>
      <w:jc w:val="left"/>
    </w:pPr>
    <w:rPr>
      <w:rFonts w:ascii="宋体" w:cs="Times New Roman"/>
      <w:szCs w:val="20"/>
    </w:rPr>
  </w:style>
  <w:style w:type="character" w:customStyle="1" w:styleId="13">
    <w:name w:val="font21"/>
    <w:basedOn w:val="9"/>
    <w:qFormat/>
    <w:uiPriority w:val="0"/>
    <w:rPr>
      <w:rFonts w:ascii="宋体" w:hAnsi="宋体" w:eastAsia="宋体" w:cs="宋体"/>
      <w:b/>
      <w:bCs/>
      <w:color w:val="000000"/>
      <w:sz w:val="20"/>
      <w:szCs w:val="20"/>
      <w:u w:val="none"/>
    </w:rPr>
  </w:style>
  <w:style w:type="character" w:customStyle="1" w:styleId="14">
    <w:name w:val="font31"/>
    <w:basedOn w:val="9"/>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003B94D1-E734-42D9-BF7E-71FC37B7D9EB}">
  <ds:schemaRefs/>
</ds:datastoreItem>
</file>

<file path=docProps/app.xml><?xml version="1.0" encoding="utf-8"?>
<Properties xmlns="http://schemas.openxmlformats.org/officeDocument/2006/extended-properties" xmlns:vt="http://schemas.openxmlformats.org/officeDocument/2006/docPropsVTypes">
  <Template>Normal.eit</Template>
  <Company>DELL</Company>
  <Pages>6</Pages>
  <Words>2851</Words>
  <Characters>3032</Characters>
  <Lines>0</Lines>
  <Paragraphs>37</Paragraphs>
  <TotalTime>24</TotalTime>
  <ScaleCrop>false</ScaleCrop>
  <LinksUpToDate>false</LinksUpToDate>
  <CharactersWithSpaces>3257</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2017-02-22T08:39:00Z</dcterms:created>
  <dc:creator>jian</dc:creator>
  <cp:lastModifiedBy>ao</cp:lastModifiedBy>
  <cp:lastPrinted>2024-04-08T07:59:00Z</cp:lastPrinted>
  <dcterms:modified xsi:type="dcterms:W3CDTF">2026-05-21T06:39:32Z</dcterms:modified>
  <dc:title>___________会议议题审批表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06B29D151BA740F79E37D74474333797_13</vt:lpwstr>
  </property>
  <property fmtid="{D5CDD505-2E9C-101B-9397-08002B2CF9AE}" pid="4" name="KSOTemplateDocerSaveRecord">
    <vt:lpwstr>eyJoZGlkIjoiNDk4ODUzY2NjYTExZjE1MWI2OGFiZmUwMWFmYTk4NTgiLCJ1c2VySWQiOiI0NDE1MzY1NzYifQ==</vt:lpwstr>
  </property>
</Properties>
</file>