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3B5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color w:val="000000"/>
          <w:spacing w:val="0"/>
          <w:kern w:val="0"/>
          <w:sz w:val="20"/>
          <w:szCs w:val="20"/>
          <w:shd w:val="clear" w:fill="FFFFFF"/>
          <w:lang w:val="en-US" w:eastAsia="zh-CN" w:bidi="ar"/>
        </w:rPr>
      </w:pPr>
      <w:r>
        <w:rPr>
          <w:rFonts w:hint="eastAsia" w:ascii="宋体" w:cs="宋体"/>
          <w:b/>
          <w:bCs/>
          <w:color w:val="000000"/>
          <w:kern w:val="36"/>
          <w:sz w:val="36"/>
          <w:szCs w:val="36"/>
          <w:u w:val="none"/>
          <w:lang w:val="en-US" w:eastAsia="zh-CN"/>
        </w:rPr>
        <w:t>氢氧化钙</w:t>
      </w:r>
      <w:r>
        <w:rPr>
          <w:rFonts w:ascii="宋体" w:eastAsia="宋体" w:cs="宋体"/>
          <w:b/>
          <w:bCs/>
          <w:color w:val="000000"/>
          <w:kern w:val="36"/>
          <w:sz w:val="36"/>
          <w:szCs w:val="36"/>
          <w:u w:val="none"/>
        </w:rPr>
        <w:t>采购</w:t>
      </w:r>
      <w:r>
        <w:rPr>
          <w:rFonts w:hint="eastAsia" w:ascii="宋体" w:eastAsia="宋体" w:cs="宋体"/>
          <w:b/>
          <w:bCs/>
          <w:color w:val="000000"/>
          <w:kern w:val="36"/>
          <w:sz w:val="36"/>
          <w:szCs w:val="28"/>
          <w:lang w:val="en-US" w:eastAsia="zh-CN"/>
        </w:rPr>
        <w:t>竞价邀请函</w:t>
      </w:r>
    </w:p>
    <w:p w14:paraId="0E9C5A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547618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61B8B2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尊敬的供应商：</w:t>
      </w:r>
    </w:p>
    <w:p w14:paraId="6AD56E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default"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现有衢州巨化锦纶有限责任公司将于2026年02月24日在公司供应商内竞比价采购氢氧化钙3000吨，竞比价模式为自由竞价，</w:t>
      </w:r>
      <w:r>
        <w:rPr>
          <w:rFonts w:hint="eastAsia" w:ascii="宋体" w:eastAsia="宋体" w:cs="宋体"/>
          <w:color w:val="000000"/>
          <w:kern w:val="0"/>
          <w:sz w:val="21"/>
          <w:szCs w:val="21"/>
        </w:rPr>
        <w:t>编号</w:t>
      </w:r>
      <w:r>
        <w:rPr>
          <w:rFonts w:ascii="宋体" w:eastAsia="宋体" w:cs="宋体"/>
          <w:color w:val="000000"/>
          <w:kern w:val="0"/>
          <w:sz w:val="28"/>
          <w:szCs w:val="28"/>
        </w:rPr>
        <w:t>：</w:t>
      </w:r>
      <w:r>
        <w:rPr>
          <w:rFonts w:hint="eastAsia" w:eastAsia="宋体"/>
          <w:b/>
          <w:bCs w:val="0"/>
          <w:sz w:val="28"/>
          <w:szCs w:val="28"/>
          <w:lang w:val="en-US" w:eastAsia="zh-CN"/>
        </w:rPr>
        <w:t>QYHG</w:t>
      </w:r>
      <w:r>
        <w:rPr>
          <w:b/>
          <w:bCs w:val="0"/>
          <w:sz w:val="28"/>
          <w:szCs w:val="28"/>
        </w:rPr>
        <w:t>202</w:t>
      </w:r>
      <w:r>
        <w:rPr>
          <w:rFonts w:hint="eastAsia"/>
          <w:b/>
          <w:bCs w:val="0"/>
          <w:sz w:val="28"/>
          <w:szCs w:val="28"/>
          <w:lang w:val="en-US" w:eastAsia="zh-CN"/>
        </w:rPr>
        <w:t>60224</w:t>
      </w:r>
      <w:r>
        <w:rPr>
          <w:rFonts w:hint="eastAsia"/>
          <w:b/>
          <w:sz w:val="32"/>
          <w:szCs w:val="32"/>
          <w:lang w:val="en-US" w:eastAsia="zh-CN"/>
        </w:rPr>
        <w:t>，</w:t>
      </w:r>
      <w:r>
        <w:rPr>
          <w:rFonts w:hint="eastAsia" w:ascii="宋体" w:hAnsi="宋体" w:eastAsia="宋体" w:cs="宋体"/>
          <w:i w:val="0"/>
          <w:iCs w:val="0"/>
          <w:caps w:val="0"/>
          <w:color w:val="000000"/>
          <w:spacing w:val="0"/>
          <w:kern w:val="0"/>
          <w:sz w:val="21"/>
          <w:szCs w:val="21"/>
          <w:shd w:val="clear" w:fill="FFFFFF"/>
          <w:lang w:val="en-US" w:eastAsia="zh-CN" w:bidi="ar"/>
        </w:rPr>
        <w:t>报价时间：</w:t>
      </w:r>
      <w:r>
        <w:rPr>
          <w:rFonts w:hint="eastAsia"/>
          <w:sz w:val="24"/>
          <w:szCs w:val="32"/>
        </w:rPr>
        <w:t>202</w:t>
      </w:r>
      <w:r>
        <w:rPr>
          <w:rFonts w:hint="eastAsia"/>
          <w:sz w:val="24"/>
          <w:szCs w:val="32"/>
          <w:lang w:val="en-US" w:eastAsia="zh-CN"/>
        </w:rPr>
        <w:t>6</w:t>
      </w:r>
      <w:r>
        <w:rPr>
          <w:rFonts w:hint="eastAsia"/>
          <w:sz w:val="24"/>
          <w:szCs w:val="32"/>
        </w:rPr>
        <w:t>-0</w:t>
      </w:r>
      <w:r>
        <w:rPr>
          <w:rFonts w:hint="eastAsia"/>
          <w:sz w:val="24"/>
          <w:szCs w:val="32"/>
          <w:lang w:val="en-US" w:eastAsia="zh-CN"/>
        </w:rPr>
        <w:t>2-24</w:t>
      </w:r>
      <w:r>
        <w:rPr>
          <w:rFonts w:hint="eastAsia"/>
          <w:sz w:val="24"/>
          <w:szCs w:val="32"/>
        </w:rPr>
        <w:t xml:space="preserve">  </w:t>
      </w:r>
      <w:r>
        <w:rPr>
          <w:rFonts w:hint="eastAsia"/>
          <w:sz w:val="24"/>
          <w:szCs w:val="32"/>
          <w:lang w:val="en-US" w:eastAsia="zh-CN"/>
        </w:rPr>
        <w:t>10</w:t>
      </w:r>
      <w:r>
        <w:rPr>
          <w:rFonts w:hint="eastAsia"/>
          <w:sz w:val="24"/>
          <w:szCs w:val="32"/>
        </w:rPr>
        <w:t>:</w:t>
      </w:r>
      <w:r>
        <w:rPr>
          <w:rFonts w:hint="eastAsia"/>
          <w:sz w:val="24"/>
          <w:szCs w:val="32"/>
          <w:lang w:val="en-US" w:eastAsia="zh-CN"/>
        </w:rPr>
        <w:t>3</w:t>
      </w:r>
      <w:r>
        <w:rPr>
          <w:rFonts w:hint="eastAsia"/>
          <w:sz w:val="24"/>
          <w:szCs w:val="32"/>
        </w:rPr>
        <w:t>0:00 至 202</w:t>
      </w:r>
      <w:r>
        <w:rPr>
          <w:rFonts w:hint="eastAsia"/>
          <w:sz w:val="24"/>
          <w:szCs w:val="32"/>
          <w:lang w:val="en-US" w:eastAsia="zh-CN"/>
        </w:rPr>
        <w:t>6</w:t>
      </w:r>
      <w:r>
        <w:rPr>
          <w:rFonts w:hint="eastAsia"/>
          <w:sz w:val="24"/>
          <w:szCs w:val="32"/>
        </w:rPr>
        <w:t>-0</w:t>
      </w:r>
      <w:r>
        <w:rPr>
          <w:rFonts w:hint="eastAsia"/>
          <w:sz w:val="24"/>
          <w:szCs w:val="32"/>
          <w:lang w:val="en-US" w:eastAsia="zh-CN"/>
        </w:rPr>
        <w:t>2</w:t>
      </w:r>
      <w:r>
        <w:rPr>
          <w:rFonts w:hint="eastAsia"/>
          <w:sz w:val="24"/>
          <w:szCs w:val="32"/>
        </w:rPr>
        <w:t>-</w:t>
      </w:r>
      <w:r>
        <w:rPr>
          <w:rFonts w:hint="eastAsia"/>
          <w:sz w:val="24"/>
          <w:szCs w:val="32"/>
          <w:lang w:val="en-US" w:eastAsia="zh-CN"/>
        </w:rPr>
        <w:t>24</w:t>
      </w:r>
      <w:r>
        <w:rPr>
          <w:rFonts w:hint="eastAsia"/>
          <w:sz w:val="24"/>
          <w:szCs w:val="32"/>
        </w:rPr>
        <w:t xml:space="preserve"> </w:t>
      </w:r>
      <w:r>
        <w:rPr>
          <w:rFonts w:hint="eastAsia"/>
          <w:sz w:val="24"/>
          <w:szCs w:val="32"/>
          <w:lang w:val="en-US" w:eastAsia="zh-CN"/>
        </w:rPr>
        <w:t>11</w:t>
      </w:r>
      <w:r>
        <w:rPr>
          <w:rFonts w:hint="eastAsia"/>
          <w:sz w:val="24"/>
          <w:szCs w:val="32"/>
        </w:rPr>
        <w:t>:</w:t>
      </w:r>
      <w:r>
        <w:rPr>
          <w:rFonts w:hint="eastAsia"/>
          <w:sz w:val="24"/>
          <w:szCs w:val="32"/>
          <w:lang w:val="en-US" w:eastAsia="zh-CN"/>
        </w:rPr>
        <w:t>0</w:t>
      </w:r>
      <w:r>
        <w:rPr>
          <w:rFonts w:hint="eastAsia"/>
          <w:sz w:val="24"/>
          <w:szCs w:val="32"/>
        </w:rPr>
        <w:t>0:00</w:t>
      </w:r>
      <w:r>
        <w:rPr>
          <w:rFonts w:hint="eastAsia" w:ascii="宋体" w:hAnsi="宋体" w:eastAsia="宋体" w:cs="宋体"/>
          <w:i w:val="0"/>
          <w:iCs w:val="0"/>
          <w:caps w:val="0"/>
          <w:color w:val="000000"/>
          <w:spacing w:val="0"/>
          <w:kern w:val="0"/>
          <w:sz w:val="21"/>
          <w:szCs w:val="21"/>
          <w:shd w:val="clear" w:fill="FFFFFF"/>
          <w:lang w:val="en-US" w:eastAsia="zh-CN" w:bidi="ar"/>
        </w:rPr>
        <w:t>。氢氧化钙供应指标如下：</w:t>
      </w:r>
    </w:p>
    <w:p w14:paraId="7EB1BA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1"/>
          <w:szCs w:val="21"/>
          <w:shd w:val="clear" w:fill="FFFFFF"/>
          <w:lang w:val="en-US" w:eastAsia="zh-CN" w:bidi="ar"/>
        </w:rPr>
        <w:t xml:space="preserve">  </w:t>
      </w:r>
      <w:r>
        <w:rPr>
          <w:rFonts w:hint="eastAsia" w:ascii="宋体" w:hAnsi="宋体" w:eastAsia="宋体" w:cs="宋体"/>
          <w:i w:val="0"/>
          <w:iCs w:val="0"/>
          <w:caps w:val="0"/>
          <w:color w:val="000000"/>
          <w:spacing w:val="0"/>
          <w:kern w:val="0"/>
          <w:sz w:val="18"/>
          <w:szCs w:val="18"/>
          <w:shd w:val="clear" w:fill="FFFFFF"/>
          <w:lang w:val="en-US" w:eastAsia="zh-CN" w:bidi="ar"/>
        </w:rPr>
        <w:t xml:space="preserve">                  </w:t>
      </w:r>
    </w:p>
    <w:tbl>
      <w:tblPr>
        <w:tblStyle w:val="2"/>
        <w:tblW w:w="794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350"/>
        <w:gridCol w:w="3590"/>
      </w:tblGrid>
      <w:tr w14:paraId="1D9BDC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0" w:hRule="atLeast"/>
          <w:tblCellSpacing w:w="0" w:type="dxa"/>
          <w:jc w:val="center"/>
        </w:trPr>
        <w:tc>
          <w:tcPr>
            <w:tcW w:w="7940" w:type="dxa"/>
            <w:gridSpan w:val="2"/>
            <w:shd w:val="clear" w:color="auto" w:fill="FFFFFF"/>
            <w:tcMar>
              <w:top w:w="30" w:type="dxa"/>
              <w:left w:w="60" w:type="dxa"/>
              <w:bottom w:w="30" w:type="dxa"/>
              <w:right w:w="60" w:type="dxa"/>
            </w:tcMar>
            <w:vAlign w:val="center"/>
          </w:tcPr>
          <w:p w14:paraId="59573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kern w:val="0"/>
                <w:sz w:val="21"/>
                <w:szCs w:val="21"/>
                <w:vertAlign w:val="baseline"/>
                <w:lang w:val="en-US" w:eastAsia="zh-CN" w:bidi="ar"/>
              </w:rPr>
              <w:t>氢氧化钙产品质量指标</w:t>
            </w:r>
          </w:p>
        </w:tc>
      </w:tr>
      <w:tr w14:paraId="226D48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6" w:hRule="atLeast"/>
          <w:tblCellSpacing w:w="0" w:type="dxa"/>
          <w:jc w:val="center"/>
        </w:trPr>
        <w:tc>
          <w:tcPr>
            <w:tcW w:w="4350" w:type="dxa"/>
            <w:shd w:val="clear" w:color="auto" w:fill="FFFFFF"/>
            <w:tcMar>
              <w:top w:w="30" w:type="dxa"/>
              <w:left w:w="60" w:type="dxa"/>
              <w:bottom w:w="30" w:type="dxa"/>
              <w:right w:w="60" w:type="dxa"/>
            </w:tcMar>
            <w:vAlign w:val="center"/>
          </w:tcPr>
          <w:p w14:paraId="421BDC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检   验   项   目</w:t>
            </w:r>
          </w:p>
        </w:tc>
        <w:tc>
          <w:tcPr>
            <w:tcW w:w="3590" w:type="dxa"/>
            <w:shd w:val="clear" w:color="auto" w:fill="FFFFFF"/>
            <w:tcMar>
              <w:top w:w="30" w:type="dxa"/>
              <w:left w:w="60" w:type="dxa"/>
              <w:bottom w:w="30" w:type="dxa"/>
              <w:right w:w="60" w:type="dxa"/>
            </w:tcMar>
            <w:vAlign w:val="center"/>
          </w:tcPr>
          <w:p w14:paraId="6BF63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指    标</w:t>
            </w:r>
          </w:p>
        </w:tc>
      </w:tr>
      <w:tr w14:paraId="053D2E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9" w:hRule="atLeast"/>
          <w:tblCellSpacing w:w="0" w:type="dxa"/>
          <w:jc w:val="center"/>
        </w:trPr>
        <w:tc>
          <w:tcPr>
            <w:tcW w:w="4350" w:type="dxa"/>
            <w:shd w:val="clear" w:color="auto" w:fill="FFFFFF"/>
            <w:tcMar>
              <w:top w:w="30" w:type="dxa"/>
              <w:left w:w="60" w:type="dxa"/>
              <w:bottom w:w="30" w:type="dxa"/>
              <w:right w:w="60" w:type="dxa"/>
            </w:tcMar>
            <w:vAlign w:val="center"/>
          </w:tcPr>
          <w:p w14:paraId="5CE33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外      观</w:t>
            </w:r>
          </w:p>
        </w:tc>
        <w:tc>
          <w:tcPr>
            <w:tcW w:w="3590" w:type="dxa"/>
            <w:shd w:val="clear" w:color="auto" w:fill="FFFFFF"/>
            <w:tcMar>
              <w:top w:w="30" w:type="dxa"/>
              <w:left w:w="60" w:type="dxa"/>
              <w:bottom w:w="30" w:type="dxa"/>
              <w:right w:w="60" w:type="dxa"/>
            </w:tcMar>
            <w:vAlign w:val="center"/>
          </w:tcPr>
          <w:p w14:paraId="11ED18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sz w:val="21"/>
                <w:szCs w:val="21"/>
                <w:lang w:val="en-US"/>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白色粉末</w:t>
            </w:r>
          </w:p>
        </w:tc>
      </w:tr>
      <w:tr w14:paraId="65E6F1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13" w:hRule="atLeast"/>
          <w:tblCellSpacing w:w="0" w:type="dxa"/>
          <w:jc w:val="center"/>
        </w:trPr>
        <w:tc>
          <w:tcPr>
            <w:tcW w:w="4350" w:type="dxa"/>
            <w:shd w:val="clear" w:color="auto" w:fill="FFFFFF"/>
            <w:tcMar>
              <w:top w:w="30" w:type="dxa"/>
              <w:left w:w="60" w:type="dxa"/>
              <w:bottom w:w="30" w:type="dxa"/>
              <w:right w:w="60" w:type="dxa"/>
            </w:tcMar>
            <w:vAlign w:val="center"/>
          </w:tcPr>
          <w:p w14:paraId="412BBE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氢氧化钙，%          ≥</w:t>
            </w:r>
          </w:p>
        </w:tc>
        <w:tc>
          <w:tcPr>
            <w:tcW w:w="3590" w:type="dxa"/>
            <w:shd w:val="clear" w:color="auto" w:fill="FFFFFF"/>
            <w:tcMar>
              <w:top w:w="30" w:type="dxa"/>
              <w:left w:w="60" w:type="dxa"/>
              <w:bottom w:w="30" w:type="dxa"/>
              <w:right w:w="60" w:type="dxa"/>
            </w:tcMar>
            <w:vAlign w:val="center"/>
          </w:tcPr>
          <w:p w14:paraId="1E81B8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95.0</w:t>
            </w:r>
          </w:p>
        </w:tc>
      </w:tr>
      <w:tr w14:paraId="0AA681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0" w:hRule="atLeast"/>
          <w:tblCellSpacing w:w="0" w:type="dxa"/>
          <w:jc w:val="center"/>
        </w:trPr>
        <w:tc>
          <w:tcPr>
            <w:tcW w:w="4350" w:type="dxa"/>
            <w:shd w:val="clear" w:color="auto" w:fill="FFFFFF"/>
            <w:tcMar>
              <w:top w:w="30" w:type="dxa"/>
              <w:left w:w="60" w:type="dxa"/>
              <w:bottom w:w="30" w:type="dxa"/>
              <w:right w:w="60" w:type="dxa"/>
            </w:tcMar>
            <w:vAlign w:val="center"/>
          </w:tcPr>
          <w:p w14:paraId="1E2478E2">
            <w:pPr>
              <w:spacing w:line="288" w:lineRule="auto"/>
              <w:jc w:val="both"/>
              <w:rPr>
                <w:rFonts w:hint="eastAsia" w:ascii="宋体" w:hAnsi="宋体" w:eastAsia="宋体" w:cs="宋体"/>
                <w:b w:val="0"/>
                <w:bCs w:val="0"/>
                <w:sz w:val="21"/>
                <w:szCs w:val="21"/>
              </w:rPr>
            </w:pPr>
            <w:r>
              <w:rPr>
                <w:rFonts w:hint="eastAsia" w:ascii="宋体" w:cs="宋体"/>
                <w:b w:val="0"/>
                <w:bCs w:val="0"/>
                <w:color w:val="000000"/>
                <w:sz w:val="21"/>
                <w:szCs w:val="21"/>
              </w:rPr>
              <w:t>镁及碱金属</w:t>
            </w:r>
            <w:r>
              <w:rPr>
                <w:rFonts w:hint="eastAsia" w:ascii="宋体" w:cs="宋体"/>
                <w:b w:val="0"/>
                <w:bCs w:val="0"/>
                <w:color w:val="000000"/>
                <w:sz w:val="21"/>
                <w:szCs w:val="21"/>
                <w:lang w:eastAsia="zh-CN"/>
              </w:rPr>
              <w:t>，</w:t>
            </w:r>
            <w:r>
              <w:rPr>
                <w:rFonts w:hint="eastAsia" w:ascii="宋体" w:cs="宋体"/>
                <w:b w:val="0"/>
                <w:bCs w:val="0"/>
                <w:color w:val="000000"/>
                <w:sz w:val="21"/>
                <w:szCs w:val="21"/>
              </w:rPr>
              <w:t>%</w:t>
            </w:r>
            <w:r>
              <w:rPr>
                <w:rFonts w:hint="eastAsia" w:ascii="宋体" w:cs="宋体"/>
                <w:b w:val="0"/>
                <w:bCs w:val="0"/>
                <w:color w:val="000000"/>
                <w:sz w:val="21"/>
                <w:szCs w:val="21"/>
                <w:lang w:val="en-US" w:eastAsia="zh-CN"/>
              </w:rPr>
              <w:t xml:space="preserve">              </w:t>
            </w:r>
            <w:r>
              <w:rPr>
                <w:rFonts w:hint="eastAsia" w:ascii="宋体" w:hAnsi="宋体" w:eastAsia="宋体" w:cs="宋体"/>
                <w:b w:val="0"/>
                <w:bCs w:val="0"/>
                <w:i w:val="0"/>
                <w:iCs w:val="0"/>
                <w:caps w:val="0"/>
                <w:color w:val="auto"/>
                <w:spacing w:val="0"/>
                <w:kern w:val="0"/>
                <w:sz w:val="21"/>
                <w:szCs w:val="21"/>
                <w:vertAlign w:val="baseline"/>
                <w:lang w:val="en-US" w:eastAsia="zh-CN" w:bidi="ar"/>
              </w:rPr>
              <w:t>≤</w:t>
            </w:r>
          </w:p>
        </w:tc>
        <w:tc>
          <w:tcPr>
            <w:tcW w:w="3590" w:type="dxa"/>
            <w:shd w:val="clear" w:color="auto" w:fill="FFFFFF"/>
            <w:tcMar>
              <w:top w:w="30" w:type="dxa"/>
              <w:left w:w="60" w:type="dxa"/>
              <w:bottom w:w="30" w:type="dxa"/>
              <w:right w:w="60" w:type="dxa"/>
            </w:tcMar>
            <w:vAlign w:val="center"/>
          </w:tcPr>
          <w:p w14:paraId="4AC7F0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3.0</w:t>
            </w:r>
          </w:p>
        </w:tc>
      </w:tr>
      <w:tr w14:paraId="15B5C5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9" w:hRule="atLeast"/>
          <w:tblCellSpacing w:w="0" w:type="dxa"/>
          <w:jc w:val="center"/>
        </w:trPr>
        <w:tc>
          <w:tcPr>
            <w:tcW w:w="4350" w:type="dxa"/>
            <w:shd w:val="clear" w:color="auto" w:fill="FFFFFF"/>
            <w:tcMar>
              <w:top w:w="30" w:type="dxa"/>
              <w:left w:w="60" w:type="dxa"/>
              <w:bottom w:w="30" w:type="dxa"/>
              <w:right w:w="60" w:type="dxa"/>
            </w:tcMar>
            <w:vAlign w:val="center"/>
          </w:tcPr>
          <w:p w14:paraId="272E2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酸不溶物</w:t>
            </w:r>
            <w:r>
              <w:rPr>
                <w:rFonts w:hint="eastAsia" w:ascii="宋体" w:hAnsi="宋体" w:eastAsia="宋体" w:cs="宋体"/>
                <w:b w:val="0"/>
                <w:bCs w:val="0"/>
                <w:i w:val="0"/>
                <w:iCs w:val="0"/>
                <w:caps w:val="0"/>
                <w:color w:val="auto"/>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6658A3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0.5</w:t>
            </w:r>
          </w:p>
        </w:tc>
      </w:tr>
      <w:tr w14:paraId="25E6BD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4" w:hRule="atLeast"/>
          <w:tblCellSpacing w:w="0" w:type="dxa"/>
          <w:jc w:val="center"/>
        </w:trPr>
        <w:tc>
          <w:tcPr>
            <w:tcW w:w="4350" w:type="dxa"/>
            <w:shd w:val="clear" w:color="auto" w:fill="FFFFFF"/>
            <w:tcMar>
              <w:top w:w="30" w:type="dxa"/>
              <w:left w:w="60" w:type="dxa"/>
              <w:bottom w:w="30" w:type="dxa"/>
              <w:right w:w="60" w:type="dxa"/>
            </w:tcMar>
            <w:vAlign w:val="center"/>
          </w:tcPr>
          <w:p w14:paraId="01AB17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铁</w:t>
            </w:r>
            <w:r>
              <w:rPr>
                <w:rFonts w:hint="eastAsia" w:ascii="宋体" w:hAnsi="宋体" w:eastAsia="宋体" w:cs="宋体"/>
                <w:b w:val="0"/>
                <w:bCs w:val="0"/>
                <w:i w:val="0"/>
                <w:iCs w:val="0"/>
                <w:caps w:val="0"/>
                <w:color w:val="auto"/>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565216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0.1</w:t>
            </w:r>
          </w:p>
        </w:tc>
      </w:tr>
      <w:tr w14:paraId="5D6899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8" w:hRule="atLeast"/>
          <w:tblCellSpacing w:w="0" w:type="dxa"/>
          <w:jc w:val="center"/>
        </w:trPr>
        <w:tc>
          <w:tcPr>
            <w:tcW w:w="4350" w:type="dxa"/>
            <w:shd w:val="clear" w:color="auto" w:fill="FFFFFF"/>
            <w:tcMar>
              <w:top w:w="30" w:type="dxa"/>
              <w:left w:w="60" w:type="dxa"/>
              <w:bottom w:w="30" w:type="dxa"/>
              <w:right w:w="60" w:type="dxa"/>
            </w:tcMar>
            <w:vAlign w:val="center"/>
          </w:tcPr>
          <w:p w14:paraId="324E0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干燥减量</w:t>
            </w:r>
            <w:r>
              <w:rPr>
                <w:rFonts w:hint="eastAsia" w:ascii="宋体" w:hAnsi="宋体" w:eastAsia="宋体" w:cs="宋体"/>
                <w:b w:val="0"/>
                <w:bCs w:val="0"/>
                <w:i w:val="0"/>
                <w:iCs w:val="0"/>
                <w:caps w:val="0"/>
                <w:color w:val="000000"/>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20820D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1</w:t>
            </w:r>
          </w:p>
        </w:tc>
      </w:tr>
      <w:tr w14:paraId="4C1E8A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3" w:hRule="atLeast"/>
          <w:tblCellSpacing w:w="0" w:type="dxa"/>
          <w:jc w:val="center"/>
        </w:trPr>
        <w:tc>
          <w:tcPr>
            <w:tcW w:w="4350" w:type="dxa"/>
            <w:shd w:val="clear" w:color="auto" w:fill="FFFFFF"/>
            <w:tcMar>
              <w:top w:w="30" w:type="dxa"/>
              <w:left w:w="60" w:type="dxa"/>
              <w:bottom w:w="30" w:type="dxa"/>
              <w:right w:w="60" w:type="dxa"/>
            </w:tcMar>
            <w:vAlign w:val="center"/>
          </w:tcPr>
          <w:p w14:paraId="4CDA0C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筛余物（0.045mm试验筛）</w:t>
            </w:r>
            <w:r>
              <w:rPr>
                <w:rFonts w:hint="eastAsia" w:ascii="宋体" w:hAnsi="宋体" w:eastAsia="宋体" w:cs="宋体"/>
                <w:b w:val="0"/>
                <w:bCs w:val="0"/>
                <w:i w:val="0"/>
                <w:iCs w:val="0"/>
                <w:caps w:val="0"/>
                <w:color w:val="auto"/>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7AC36C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5</w:t>
            </w:r>
          </w:p>
        </w:tc>
      </w:tr>
    </w:tbl>
    <w:p w14:paraId="0873AB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【交易流程】</w:t>
      </w:r>
    </w:p>
    <w:p w14:paraId="1ACD539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报价单位为我公司的合格供应商。</w:t>
      </w:r>
    </w:p>
    <w:p w14:paraId="4573AE0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参加竞价的会员在巨化数字商城报价，</w:t>
      </w:r>
      <w:r>
        <w:rPr>
          <w:rFonts w:hint="eastAsia" w:ascii="宋体" w:hAnsi="宋体" w:eastAsia="宋体" w:cs="宋体"/>
          <w:i w:val="0"/>
          <w:iCs w:val="0"/>
          <w:caps w:val="0"/>
          <w:color w:val="000000"/>
          <w:spacing w:val="0"/>
          <w:sz w:val="21"/>
          <w:szCs w:val="21"/>
          <w:shd w:val="clear" w:fill="FFFFFF"/>
        </w:rPr>
        <w:t>开始竞价报价，用户可以多次报价直至竞价结束，以最后一次报价为准，报价为一票制到货价。</w:t>
      </w:r>
      <w:r>
        <w:rPr>
          <w:rFonts w:hint="eastAsia" w:ascii="宋体" w:hAnsi="宋体" w:eastAsia="宋体" w:cs="宋体"/>
          <w:i w:val="0"/>
          <w:iCs w:val="0"/>
          <w:caps w:val="0"/>
          <w:color w:val="000000"/>
          <w:spacing w:val="0"/>
          <w:sz w:val="21"/>
          <w:szCs w:val="21"/>
          <w:shd w:val="clear" w:fill="FFFFFF"/>
          <w:lang w:val="en-US" w:eastAsia="zh-CN"/>
        </w:rPr>
        <w:t>送货时间</w:t>
      </w:r>
      <w:r>
        <w:rPr>
          <w:rFonts w:hint="eastAsia" w:ascii="宋体" w:hAnsi="宋体" w:eastAsia="宋体" w:cs="宋体"/>
          <w:i w:val="0"/>
          <w:iCs w:val="0"/>
          <w:caps w:val="0"/>
          <w:color w:val="000000"/>
          <w:spacing w:val="0"/>
          <w:kern w:val="0"/>
          <w:sz w:val="21"/>
          <w:szCs w:val="21"/>
          <w:shd w:val="clear" w:fill="FFFFFF"/>
          <w:lang w:val="en-US" w:eastAsia="zh-CN" w:bidi="ar"/>
        </w:rPr>
        <w:t>2026年02月25日至2026年3月30日。（供货时间和供货量详情见合同）</w:t>
      </w:r>
    </w:p>
    <w:p w14:paraId="7195B6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3、衢州巨化锦纶有限责任公司将对每车货物进行检测。如发现质量问题，将立即终止合同，供应方承担违约责任。</w:t>
      </w:r>
    </w:p>
    <w:p w14:paraId="570C3B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4、竞价结束后，由我司监察室监督下组织对本次竞价采购进行评标，确定中标单位并予以公示。公示结束后，成交双方签署合同,按照合同要求履行。</w:t>
      </w:r>
    </w:p>
    <w:p w14:paraId="1FE28C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5、如果因为中标单位原因不能履行中标合同，造成损失的将追究相应赔偿。中标单位将根据评标结果次序进行顺延中标。</w:t>
      </w:r>
    </w:p>
    <w:p w14:paraId="1E5551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default"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6、交付过程中如发现有产品质量以次充好，情况，我司有权终止合同并追偿损失，并对相应供方进行性终止合作出发，一年内不得参与我司氢氧化钙采购报价。</w:t>
      </w:r>
    </w:p>
    <w:p w14:paraId="4CF27B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【提货流程】</w:t>
      </w:r>
    </w:p>
    <w:p w14:paraId="6B7C8B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1、产品交货时间：合同签订后执行；</w:t>
      </w:r>
    </w:p>
    <w:p w14:paraId="615F12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2、产品交货方式：一票制送到，供方负责运输，运输过程中相关安全事宜由供方负责，并承担运输费用。供方根据需方生产需求计划均衡发货，以需方过磅数量结算。</w:t>
      </w:r>
    </w:p>
    <w:p w14:paraId="6A44A1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3、产品交货地：衢州巨化锦纶有限责任公司；浙江省衢州市柯城区巨化北二道56号</w:t>
      </w:r>
    </w:p>
    <w:p w14:paraId="278BC7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4、报价形式为</w:t>
      </w:r>
      <w:bookmarkStart w:id="0" w:name="_GoBack"/>
      <w:bookmarkEnd w:id="0"/>
      <w:r>
        <w:rPr>
          <w:rFonts w:hint="eastAsia" w:ascii="宋体" w:hAnsi="宋体" w:eastAsia="宋体" w:cs="宋体"/>
          <w:i w:val="0"/>
          <w:iCs w:val="0"/>
          <w:caps w:val="0"/>
          <w:color w:val="000000"/>
          <w:spacing w:val="0"/>
          <w:kern w:val="0"/>
          <w:sz w:val="21"/>
          <w:szCs w:val="21"/>
          <w:shd w:val="clear" w:fill="FFFFFF"/>
          <w:lang w:val="en-US" w:eastAsia="zh-CN" w:bidi="ar"/>
        </w:rPr>
        <w:t>一票制承兑送到价格，其他形式报价视为弃标，如有其它要求请上传报价函备注说明。</w:t>
      </w:r>
    </w:p>
    <w:p w14:paraId="2212D7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5、货物运输车辆必须遵守国家安全、交通法规，严禁车辆超载运输。在运输过程中如发生安全、环保等事故，均由供方承担。</w:t>
      </w:r>
    </w:p>
    <w:p w14:paraId="10E941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【结算方式及期限】</w:t>
      </w:r>
    </w:p>
    <w:p w14:paraId="1267CC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供应商开具13%增值税发票，收到发票后以银行承兑汇票支付货款。具体细节以双方签订合同为准。如因国家税率调整、按不含税单价不变开票结算。</w:t>
      </w:r>
    </w:p>
    <w:p w14:paraId="2CF231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【违约责任】</w:t>
      </w:r>
    </w:p>
    <w:p w14:paraId="600F4B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方对质量检验有异议，对我公司的留样样品送第三方具有国家认定资质的质检部门进行检验，双方协商解决。协商期间，供方根据需方的通知是否继续供应。由于产品本身的质量问题引发安全事故所造成的一切损失，由供应商全额赔偿。包括但不限于律师费，诉讼费、买受方的损失等。</w:t>
      </w:r>
    </w:p>
    <w:p w14:paraId="41887C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p>
    <w:p w14:paraId="1631A1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5303" w:leftChars="2125" w:right="0" w:hanging="840" w:hangingChars="4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衢州巨化锦纶有限责任公司</w:t>
      </w:r>
    </w:p>
    <w:p w14:paraId="27AB87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5303" w:leftChars="2125" w:right="0" w:hanging="840" w:hangingChars="4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2026年02月24日</w:t>
      </w:r>
    </w:p>
    <w:p w14:paraId="0D0C2DFE">
      <w:pPr>
        <w:spacing w:line="360" w:lineRule="auto"/>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67573"/>
    <w:multiLevelType w:val="singleLevel"/>
    <w:tmpl w:val="974675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YjFjNjlkZTVmNDk4NTc5YmVhOWRmOGU5ZGU0MmQifQ=="/>
  </w:docVars>
  <w:rsids>
    <w:rsidRoot w:val="00000000"/>
    <w:rsid w:val="000475C3"/>
    <w:rsid w:val="01AA4486"/>
    <w:rsid w:val="0300783C"/>
    <w:rsid w:val="0350434C"/>
    <w:rsid w:val="05677DE7"/>
    <w:rsid w:val="059B116C"/>
    <w:rsid w:val="067120D2"/>
    <w:rsid w:val="069E1652"/>
    <w:rsid w:val="070B1DD7"/>
    <w:rsid w:val="08C830EF"/>
    <w:rsid w:val="08F828F0"/>
    <w:rsid w:val="090663E0"/>
    <w:rsid w:val="0A4869AA"/>
    <w:rsid w:val="0AF33DD5"/>
    <w:rsid w:val="0BDE70D1"/>
    <w:rsid w:val="0E1C16BC"/>
    <w:rsid w:val="1012414F"/>
    <w:rsid w:val="11034D52"/>
    <w:rsid w:val="11576061"/>
    <w:rsid w:val="11C8679C"/>
    <w:rsid w:val="11DD7609"/>
    <w:rsid w:val="12581886"/>
    <w:rsid w:val="13B43C16"/>
    <w:rsid w:val="13FE3E27"/>
    <w:rsid w:val="146401FE"/>
    <w:rsid w:val="15AB3899"/>
    <w:rsid w:val="16E6580D"/>
    <w:rsid w:val="17B12F60"/>
    <w:rsid w:val="18A670AA"/>
    <w:rsid w:val="19661E28"/>
    <w:rsid w:val="1A907657"/>
    <w:rsid w:val="1BEC2FB3"/>
    <w:rsid w:val="1C5A56F6"/>
    <w:rsid w:val="1C741023"/>
    <w:rsid w:val="22BC6E6F"/>
    <w:rsid w:val="267306C4"/>
    <w:rsid w:val="29FB37DC"/>
    <w:rsid w:val="2AF00D10"/>
    <w:rsid w:val="2B0F69C1"/>
    <w:rsid w:val="2CC80D1A"/>
    <w:rsid w:val="2CCB6075"/>
    <w:rsid w:val="2ED66A2F"/>
    <w:rsid w:val="2F0117A8"/>
    <w:rsid w:val="306C426A"/>
    <w:rsid w:val="31730F91"/>
    <w:rsid w:val="3276479B"/>
    <w:rsid w:val="32AB34D3"/>
    <w:rsid w:val="33D4663A"/>
    <w:rsid w:val="349124F1"/>
    <w:rsid w:val="366153BB"/>
    <w:rsid w:val="369E5BD7"/>
    <w:rsid w:val="37DA41AF"/>
    <w:rsid w:val="382C790C"/>
    <w:rsid w:val="387323D9"/>
    <w:rsid w:val="38943EA7"/>
    <w:rsid w:val="389F682D"/>
    <w:rsid w:val="3913458B"/>
    <w:rsid w:val="395008E5"/>
    <w:rsid w:val="395F2775"/>
    <w:rsid w:val="3996244B"/>
    <w:rsid w:val="3A27080A"/>
    <w:rsid w:val="3A9D4869"/>
    <w:rsid w:val="3AD740CB"/>
    <w:rsid w:val="3DE2791A"/>
    <w:rsid w:val="3E7C03DF"/>
    <w:rsid w:val="3EAB4770"/>
    <w:rsid w:val="3EF10F43"/>
    <w:rsid w:val="3F9F33F0"/>
    <w:rsid w:val="421B164C"/>
    <w:rsid w:val="43000F6E"/>
    <w:rsid w:val="44A93119"/>
    <w:rsid w:val="478B18A1"/>
    <w:rsid w:val="47BB6DEB"/>
    <w:rsid w:val="49A8010F"/>
    <w:rsid w:val="4A1277D9"/>
    <w:rsid w:val="4B4E30AC"/>
    <w:rsid w:val="4BF03B4A"/>
    <w:rsid w:val="4E7D3942"/>
    <w:rsid w:val="4F921340"/>
    <w:rsid w:val="509B31FA"/>
    <w:rsid w:val="51524316"/>
    <w:rsid w:val="51B965D2"/>
    <w:rsid w:val="522D5F4B"/>
    <w:rsid w:val="52630BD1"/>
    <w:rsid w:val="527C13A3"/>
    <w:rsid w:val="531E4F13"/>
    <w:rsid w:val="53FD5F81"/>
    <w:rsid w:val="5433318E"/>
    <w:rsid w:val="553A4DCB"/>
    <w:rsid w:val="5652066A"/>
    <w:rsid w:val="568E061D"/>
    <w:rsid w:val="58A57AD6"/>
    <w:rsid w:val="5A1534DC"/>
    <w:rsid w:val="5A987886"/>
    <w:rsid w:val="5AC45807"/>
    <w:rsid w:val="5BD6038F"/>
    <w:rsid w:val="5CC97772"/>
    <w:rsid w:val="5DB94057"/>
    <w:rsid w:val="5EF22348"/>
    <w:rsid w:val="611F2AAF"/>
    <w:rsid w:val="6134417C"/>
    <w:rsid w:val="61F7517F"/>
    <w:rsid w:val="664A240B"/>
    <w:rsid w:val="66BB45C1"/>
    <w:rsid w:val="66E04703"/>
    <w:rsid w:val="687B1A1E"/>
    <w:rsid w:val="687D6036"/>
    <w:rsid w:val="69E87365"/>
    <w:rsid w:val="6A766917"/>
    <w:rsid w:val="6C7A0868"/>
    <w:rsid w:val="6F0F4753"/>
    <w:rsid w:val="6F26496F"/>
    <w:rsid w:val="705854DF"/>
    <w:rsid w:val="70A36114"/>
    <w:rsid w:val="72192C03"/>
    <w:rsid w:val="72B56DCF"/>
    <w:rsid w:val="734340CD"/>
    <w:rsid w:val="737E5695"/>
    <w:rsid w:val="74736C5F"/>
    <w:rsid w:val="74AB4371"/>
    <w:rsid w:val="75703482"/>
    <w:rsid w:val="7611501A"/>
    <w:rsid w:val="774F0DA8"/>
    <w:rsid w:val="7840771E"/>
    <w:rsid w:val="79236B46"/>
    <w:rsid w:val="7B0D3A08"/>
    <w:rsid w:val="7B717425"/>
    <w:rsid w:val="7B7B6CE0"/>
    <w:rsid w:val="7C9478A1"/>
    <w:rsid w:val="7CF2493E"/>
    <w:rsid w:val="7D276133"/>
    <w:rsid w:val="7E763E55"/>
    <w:rsid w:val="7F57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984</Words>
  <Characters>1067</Characters>
  <Lines>0</Lines>
  <Paragraphs>0</Paragraphs>
  <TotalTime>3</TotalTime>
  <ScaleCrop>false</ScaleCrop>
  <LinksUpToDate>false</LinksUpToDate>
  <CharactersWithSpaces>1169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2023-05-16T01:02:00Z</dcterms:created>
  <dc:creator>LJX</dc:creator>
  <cp:lastModifiedBy>廖继兴</cp:lastModifiedBy>
  <dcterms:modified xsi:type="dcterms:W3CDTF">2026-02-23T01:56:42Z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8CDB6BA59D1A4FCFA38143C1BF218976_12</vt:lpwstr>
  </property>
  <property fmtid="{D5CDD505-2E9C-101B-9397-08002B2CF9AE}" pid="4" name="KSOTemplateDocerSaveRecord">
    <vt:lpwstr>eyJoZGlkIjoiODU1YjFjNjlkZTVmNDk4NTc5YmVhOWRmOGU5ZGU0MmQiLCJ1c2VySWQiOiI3MTY4NDMzMzcifQ==</vt:lpwstr>
  </property>
</Properties>
</file>