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37151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乙醛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37151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乙</w:t>
      </w:r>
      <w:r w:rsidR="00674841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</w:t>
      </w:r>
      <w:r w:rsidR="0037151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醛</w:t>
      </w:r>
    </w:p>
    <w:p w:rsidR="00371512" w:rsidRDefault="0051350D" w:rsidP="0051350D">
      <w:pPr>
        <w:pStyle w:val="a6"/>
        <w:widowControl/>
        <w:spacing w:beforeAutospacing="0" w:afterAutospacing="0" w:line="360" w:lineRule="auto"/>
        <w:rPr>
          <w:rFonts w:ascii="宋体" w:eastAsia="宋体" w:hAnsi="宋体" w:cs="微软雅黑"/>
          <w:b/>
          <w:bCs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 w:rsidR="00371512" w:rsidRPr="00371512">
        <w:rPr>
          <w:rFonts w:ascii="宋体" w:eastAsia="宋体" w:hAnsi="宋体" w:cs="微软雅黑" w:hint="eastAsia"/>
          <w:bCs/>
          <w:color w:val="333333"/>
          <w:sz w:val="21"/>
          <w:szCs w:val="21"/>
          <w:shd w:val="clear" w:color="auto" w:fill="FFFFFF"/>
        </w:rPr>
        <w:t>指标符合HG/T5149-2017，质量标准：乙醛≥99.5﹪、乙醇 ≤0.1%、色度≤10#、无色透明且无杂质,。</w:t>
      </w:r>
      <w:r w:rsidR="00371512" w:rsidRPr="00371512">
        <w:rPr>
          <w:rFonts w:ascii="宋体" w:eastAsia="宋体" w:hAnsi="宋体" w:cs="微软雅黑" w:hint="eastAsia"/>
          <w:b/>
          <w:bCs/>
          <w:color w:val="333333"/>
          <w:sz w:val="21"/>
          <w:szCs w:val="21"/>
          <w:shd w:val="clear" w:color="auto" w:fill="FFFFFF"/>
        </w:rPr>
        <w:t xml:space="preserve">  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67484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258F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37151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19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BE" w:rsidRDefault="004934BE" w:rsidP="00FD56FC">
      <w:r>
        <w:separator/>
      </w:r>
    </w:p>
  </w:endnote>
  <w:endnote w:type="continuationSeparator" w:id="1">
    <w:p w:rsidR="004934BE" w:rsidRDefault="004934BE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BE" w:rsidRDefault="004934BE" w:rsidP="00FD56FC">
      <w:r>
        <w:separator/>
      </w:r>
    </w:p>
  </w:footnote>
  <w:footnote w:type="continuationSeparator" w:id="1">
    <w:p w:rsidR="004934BE" w:rsidRDefault="004934BE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D330E"/>
    <w:rsid w:val="000E3DCB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71512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934BE"/>
    <w:rsid w:val="004A381E"/>
    <w:rsid w:val="004B4C8A"/>
    <w:rsid w:val="004C0761"/>
    <w:rsid w:val="004D0C41"/>
    <w:rsid w:val="004D4EC2"/>
    <w:rsid w:val="004D4EC8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74841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C7999"/>
    <w:rsid w:val="00EE0219"/>
    <w:rsid w:val="00EE0D2C"/>
    <w:rsid w:val="00F27974"/>
    <w:rsid w:val="00F37518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5</cp:revision>
  <cp:lastPrinted>2025-05-26T01:29:00Z</cp:lastPrinted>
  <dcterms:created xsi:type="dcterms:W3CDTF">2025-06-16T03:08:00Z</dcterms:created>
  <dcterms:modified xsi:type="dcterms:W3CDTF">2025-06-18T00:44:00Z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